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1E3D0">
      <w:pPr>
        <w:adjustRightInd w:val="0"/>
        <w:snapToGrid w:val="0"/>
        <w:spacing w:before="624" w:beforeLines="200" w:line="360" w:lineRule="auto"/>
        <w:jc w:val="center"/>
        <w:rPr>
          <w:rFonts w:hint="default" w:ascii="微软雅黑" w:hAnsi="微软雅黑" w:eastAsia="微软雅黑" w:cs="微软雅黑"/>
          <w:b/>
          <w:bCs w:val="0"/>
          <w:color w:val="auto"/>
          <w:sz w:val="36"/>
          <w:szCs w:val="36"/>
          <w:highlight w:val="none"/>
          <w:lang w:val="en-US" w:eastAsia="zh-CN"/>
        </w:rPr>
      </w:pPr>
      <w:r>
        <w:rPr>
          <w:rFonts w:hint="eastAsia" w:ascii="微软雅黑" w:hAnsi="微软雅黑" w:eastAsia="微软雅黑" w:cs="微软雅黑"/>
          <w:b/>
          <w:bCs w:val="0"/>
          <w:color w:val="auto"/>
          <w:sz w:val="36"/>
          <w:szCs w:val="36"/>
          <w:highlight w:val="none"/>
          <w:lang w:val="en-US" w:eastAsia="zh-CN"/>
        </w:rPr>
        <w:t>项目编号：HT-【采】20250319</w:t>
      </w:r>
    </w:p>
    <w:p w14:paraId="0C8C46D2">
      <w:pPr>
        <w:jc w:val="center"/>
        <w:rPr>
          <w:rFonts w:hint="eastAsia" w:ascii="微软雅黑" w:hAnsi="微软雅黑" w:eastAsia="微软雅黑" w:cs="微软雅黑"/>
          <w:b/>
          <w:bCs w:val="0"/>
          <w:color w:val="auto"/>
          <w:sz w:val="52"/>
          <w:szCs w:val="52"/>
          <w:highlight w:val="none"/>
          <w:lang w:val="en-US" w:eastAsia="zh-CN"/>
        </w:rPr>
      </w:pPr>
      <w:r>
        <w:rPr>
          <w:rFonts w:hint="eastAsia" w:ascii="微软雅黑" w:hAnsi="微软雅黑" w:eastAsia="微软雅黑" w:cs="微软雅黑"/>
          <w:b/>
          <w:bCs w:val="0"/>
          <w:color w:val="auto"/>
          <w:sz w:val="52"/>
          <w:szCs w:val="52"/>
          <w:highlight w:val="none"/>
          <w:lang w:val="en-US" w:eastAsia="zh-CN"/>
        </w:rPr>
        <w:t>成都市技师学院（成都工贸职业技术学院）2025年电气教学实训耗材采购项目</w:t>
      </w:r>
    </w:p>
    <w:p w14:paraId="53DA0259">
      <w:pPr>
        <w:pStyle w:val="9"/>
        <w:rPr>
          <w:rFonts w:hint="eastAsia"/>
          <w:highlight w:val="none"/>
          <w:lang w:val="en-US" w:eastAsia="zh-CN"/>
        </w:rPr>
      </w:pPr>
    </w:p>
    <w:p w14:paraId="2B047BB0">
      <w:pPr>
        <w:jc w:val="center"/>
        <w:rPr>
          <w:rFonts w:hint="eastAsia" w:ascii="微软雅黑" w:hAnsi="微软雅黑" w:eastAsia="微软雅黑" w:cs="微软雅黑"/>
          <w:b/>
          <w:bCs/>
          <w:sz w:val="72"/>
          <w:szCs w:val="72"/>
          <w:highlight w:val="none"/>
        </w:rPr>
      </w:pPr>
      <w:r>
        <w:rPr>
          <w:rFonts w:hint="eastAsia" w:ascii="微软雅黑" w:hAnsi="微软雅黑" w:eastAsia="微软雅黑" w:cs="微软雅黑"/>
          <w:b/>
          <w:bCs/>
          <w:sz w:val="72"/>
          <w:szCs w:val="72"/>
          <w:highlight w:val="none"/>
        </w:rPr>
        <w:t>磋</w:t>
      </w:r>
    </w:p>
    <w:p w14:paraId="73502C4F">
      <w:pPr>
        <w:jc w:val="center"/>
        <w:rPr>
          <w:rFonts w:hint="eastAsia" w:ascii="微软雅黑" w:hAnsi="微软雅黑" w:eastAsia="微软雅黑" w:cs="微软雅黑"/>
          <w:b/>
          <w:bCs/>
          <w:sz w:val="72"/>
          <w:szCs w:val="72"/>
          <w:highlight w:val="none"/>
        </w:rPr>
      </w:pPr>
      <w:r>
        <w:rPr>
          <w:rFonts w:hint="eastAsia" w:ascii="微软雅黑" w:hAnsi="微软雅黑" w:eastAsia="微软雅黑" w:cs="微软雅黑"/>
          <w:b/>
          <w:bCs/>
          <w:sz w:val="72"/>
          <w:szCs w:val="72"/>
          <w:highlight w:val="none"/>
        </w:rPr>
        <w:t>商</w:t>
      </w:r>
    </w:p>
    <w:p w14:paraId="3934C613">
      <w:pPr>
        <w:jc w:val="center"/>
        <w:rPr>
          <w:rFonts w:hint="eastAsia" w:ascii="微软雅黑" w:hAnsi="微软雅黑" w:eastAsia="微软雅黑" w:cs="微软雅黑"/>
          <w:b/>
          <w:bCs/>
          <w:sz w:val="72"/>
          <w:szCs w:val="72"/>
          <w:highlight w:val="none"/>
        </w:rPr>
      </w:pPr>
      <w:r>
        <w:rPr>
          <w:rFonts w:hint="eastAsia" w:ascii="微软雅黑" w:hAnsi="微软雅黑" w:eastAsia="微软雅黑" w:cs="微软雅黑"/>
          <w:b/>
          <w:bCs/>
          <w:sz w:val="72"/>
          <w:szCs w:val="72"/>
          <w:highlight w:val="none"/>
        </w:rPr>
        <w:t>文</w:t>
      </w:r>
    </w:p>
    <w:p w14:paraId="01EF5DE6">
      <w:pPr>
        <w:jc w:val="center"/>
        <w:rPr>
          <w:rFonts w:hint="eastAsia" w:ascii="微软雅黑" w:hAnsi="微软雅黑" w:eastAsia="微软雅黑" w:cs="微软雅黑"/>
          <w:sz w:val="24"/>
          <w:szCs w:val="28"/>
          <w:highlight w:val="none"/>
        </w:rPr>
      </w:pPr>
      <w:r>
        <w:rPr>
          <w:rFonts w:hint="eastAsia" w:ascii="微软雅黑" w:hAnsi="微软雅黑" w:eastAsia="微软雅黑" w:cs="微软雅黑"/>
          <w:b/>
          <w:bCs/>
          <w:sz w:val="72"/>
          <w:szCs w:val="72"/>
          <w:highlight w:val="none"/>
        </w:rPr>
        <w:t>件</w:t>
      </w:r>
    </w:p>
    <w:p w14:paraId="604F11F6">
      <w:pPr>
        <w:spacing w:line="360" w:lineRule="auto"/>
        <w:jc w:val="both"/>
        <w:rPr>
          <w:rFonts w:hint="eastAsia" w:ascii="微软雅黑" w:hAnsi="微软雅黑" w:eastAsia="微软雅黑" w:cs="微软雅黑"/>
          <w:b/>
          <w:bCs/>
          <w:sz w:val="32"/>
          <w:szCs w:val="32"/>
          <w:highlight w:val="none"/>
          <w:lang w:eastAsia="zh-CN"/>
        </w:rPr>
      </w:pPr>
    </w:p>
    <w:p w14:paraId="2AD3E2BB">
      <w:pPr>
        <w:spacing w:line="360" w:lineRule="auto"/>
        <w:jc w:val="both"/>
        <w:rPr>
          <w:rFonts w:hint="eastAsia" w:ascii="微软雅黑" w:hAnsi="微软雅黑" w:eastAsia="微软雅黑" w:cs="微软雅黑"/>
          <w:b/>
          <w:bCs/>
          <w:sz w:val="28"/>
          <w:szCs w:val="28"/>
          <w:highlight w:val="none"/>
          <w:lang w:eastAsia="zh-CN"/>
        </w:rPr>
      </w:pPr>
    </w:p>
    <w:p w14:paraId="4AE3B73B">
      <w:pPr>
        <w:spacing w:line="360" w:lineRule="auto"/>
        <w:jc w:val="center"/>
        <w:rPr>
          <w:rFonts w:hint="eastAsia"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成都市技师学院（成都工贸职业技术学院）</w:t>
      </w:r>
    </w:p>
    <w:p w14:paraId="05B3552A">
      <w:pPr>
        <w:adjustRightInd w:val="0"/>
        <w:snapToGrid w:val="0"/>
        <w:spacing w:before="312" w:beforeLines="100" w:line="360" w:lineRule="auto"/>
        <w:jc w:val="center"/>
        <w:rPr>
          <w:rFonts w:hint="eastAsia" w:ascii="微软雅黑" w:hAnsi="微软雅黑" w:eastAsia="微软雅黑" w:cs="微软雅黑"/>
          <w:b/>
          <w:bCs/>
          <w:sz w:val="32"/>
          <w:szCs w:val="32"/>
          <w:highlight w:val="none"/>
          <w:lang w:eastAsia="zh-CN"/>
        </w:rPr>
      </w:pPr>
      <w:r>
        <w:rPr>
          <w:rFonts w:hint="eastAsia" w:ascii="微软雅黑" w:hAnsi="微软雅黑" w:eastAsia="微软雅黑" w:cs="微软雅黑"/>
          <w:b/>
          <w:bCs/>
          <w:sz w:val="32"/>
          <w:szCs w:val="32"/>
          <w:highlight w:val="none"/>
          <w:lang w:eastAsia="zh-CN"/>
        </w:rPr>
        <w:t>恒泰工程咨询集团有限公司</w:t>
      </w:r>
    </w:p>
    <w:p w14:paraId="018399E3">
      <w:pPr>
        <w:pStyle w:val="9"/>
        <w:jc w:val="center"/>
        <w:rPr>
          <w:rFonts w:hint="eastAsia" w:ascii="微软雅黑" w:hAnsi="微软雅黑" w:eastAsia="微软雅黑" w:cs="微软雅黑"/>
          <w:b/>
          <w:bCs/>
          <w:sz w:val="21"/>
          <w:szCs w:val="22"/>
          <w:highlight w:val="none"/>
          <w:lang w:eastAsia="zh-CN"/>
        </w:rPr>
      </w:pPr>
      <w:r>
        <w:rPr>
          <w:rFonts w:hint="eastAsia" w:ascii="微软雅黑" w:hAnsi="微软雅黑" w:eastAsia="微软雅黑" w:cs="微软雅黑"/>
          <w:b/>
          <w:bCs/>
          <w:sz w:val="32"/>
          <w:szCs w:val="32"/>
          <w:highlight w:val="none"/>
          <w:lang w:eastAsia="zh-CN"/>
        </w:rPr>
        <w:t>共同编制</w:t>
      </w:r>
    </w:p>
    <w:p w14:paraId="017C1F9E">
      <w:pPr>
        <w:adjustRightInd w:val="0"/>
        <w:snapToGrid w:val="0"/>
        <w:spacing w:line="360" w:lineRule="auto"/>
        <w:jc w:val="center"/>
        <w:rPr>
          <w:rFonts w:hint="eastAsia" w:ascii="微软雅黑" w:hAnsi="微软雅黑" w:eastAsia="微软雅黑" w:cs="微软雅黑"/>
          <w:b w:val="0"/>
          <w:bCs w:val="0"/>
          <w:color w:val="auto"/>
          <w:sz w:val="32"/>
          <w:szCs w:val="32"/>
          <w:highlight w:val="none"/>
          <w:lang w:val="en-US" w:eastAsia="zh-CN"/>
        </w:rPr>
      </w:pPr>
      <w:r>
        <w:rPr>
          <w:rFonts w:hint="eastAsia" w:ascii="微软雅黑" w:hAnsi="微软雅黑" w:eastAsia="微软雅黑" w:cs="微软雅黑"/>
          <w:b/>
          <w:bCs w:val="0"/>
          <w:color w:val="auto"/>
          <w:sz w:val="32"/>
          <w:szCs w:val="32"/>
          <w:highlight w:val="none"/>
          <w:lang w:val="en-US" w:eastAsia="zh-CN"/>
        </w:rPr>
        <w:t>2025年03月</w:t>
      </w:r>
    </w:p>
    <w:p w14:paraId="366D7397">
      <w:pPr>
        <w:snapToGrid w:val="0"/>
        <w:spacing w:line="540" w:lineRule="exact"/>
        <w:jc w:val="center"/>
        <w:rPr>
          <w:rFonts w:hint="eastAsia" w:ascii="黑体" w:hAnsi="黑体" w:eastAsia="黑体" w:cs="黑体"/>
          <w:b/>
          <w:sz w:val="44"/>
          <w:szCs w:val="44"/>
          <w:highlight w:val="none"/>
        </w:rPr>
        <w:sectPr>
          <w:headerReference r:id="rId4" w:type="first"/>
          <w:headerReference r:id="rId3" w:type="default"/>
          <w:footerReference r:id="rId5" w:type="default"/>
          <w:pgSz w:w="11906" w:h="16838"/>
          <w:pgMar w:top="1440" w:right="1474" w:bottom="1440" w:left="1474" w:header="851" w:footer="992" w:gutter="0"/>
          <w:pgNumType w:fmt="decimal"/>
          <w:cols w:space="0" w:num="1"/>
          <w:titlePg/>
          <w:rtlGutter w:val="0"/>
          <w:docGrid w:type="lines" w:linePitch="312" w:charSpace="0"/>
        </w:sectPr>
      </w:pPr>
    </w:p>
    <w:p w14:paraId="14F559B8">
      <w:pPr>
        <w:snapToGrid w:val="0"/>
        <w:spacing w:line="540" w:lineRule="exact"/>
        <w:jc w:val="both"/>
        <w:rPr>
          <w:rFonts w:hint="eastAsia" w:ascii="仿宋" w:hAnsi="仿宋" w:eastAsia="仿宋" w:cs="仿宋"/>
          <w:b/>
          <w:sz w:val="44"/>
          <w:szCs w:val="44"/>
          <w:highlight w:val="none"/>
        </w:rPr>
      </w:pPr>
    </w:p>
    <w:p w14:paraId="76B9E6BD">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0"/>
        <w:rPr>
          <w:rFonts w:hint="eastAsia" w:ascii="仿宋" w:hAnsi="仿宋" w:eastAsia="仿宋" w:cs="仿宋"/>
          <w:b/>
          <w:sz w:val="44"/>
          <w:szCs w:val="44"/>
          <w:highlight w:val="none"/>
        </w:rPr>
      </w:pPr>
      <w:bookmarkStart w:id="0" w:name="_Toc8640"/>
      <w:r>
        <w:rPr>
          <w:rFonts w:hint="eastAsia" w:ascii="仿宋" w:hAnsi="仿宋" w:eastAsia="仿宋" w:cs="仿宋"/>
          <w:b/>
          <w:sz w:val="44"/>
          <w:szCs w:val="44"/>
          <w:highlight w:val="none"/>
        </w:rPr>
        <w:t>目    录</w:t>
      </w:r>
      <w:bookmarkEnd w:id="0"/>
    </w:p>
    <w:p w14:paraId="7D32DA1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p>
    <w:sdt>
      <w:sdtPr>
        <w:rPr>
          <w:rFonts w:hint="eastAsia" w:ascii="仿宋" w:hAnsi="仿宋" w:eastAsia="仿宋" w:cs="仿宋"/>
          <w:kern w:val="2"/>
          <w:sz w:val="28"/>
          <w:szCs w:val="28"/>
          <w:highlight w:val="none"/>
          <w:lang w:val="en-US" w:eastAsia="zh-CN" w:bidi="ar-SA"/>
        </w:rPr>
        <w:id w:val="147461923"/>
        <w15:color w:val="DBDBDB"/>
        <w:docPartObj>
          <w:docPartGallery w:val="Table of Contents"/>
          <w:docPartUnique/>
        </w:docPartObj>
      </w:sdtPr>
      <w:sdtEndPr>
        <w:rPr>
          <w:rFonts w:hint="eastAsia" w:ascii="Times New Roman" w:hAnsi="Times New Roman" w:eastAsia="黑体" w:cs="Times New Roman"/>
          <w:bCs/>
          <w:kern w:val="2"/>
          <w:sz w:val="21"/>
          <w:szCs w:val="32"/>
          <w:highlight w:val="none"/>
          <w:lang w:val="en-US" w:eastAsia="zh-CN" w:bidi="ar-SA"/>
        </w:rPr>
      </w:sdtEndPr>
      <w:sdtContent>
        <w:p w14:paraId="2D33430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Cs w:val="0"/>
              <w:kern w:val="2"/>
              <w:sz w:val="28"/>
              <w:szCs w:val="28"/>
              <w:highlight w:val="none"/>
              <w:lang w:val="en-US" w:eastAsia="zh-CN" w:bidi="ar-SA"/>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TOC \o "1-1" \h \u </w:instrText>
          </w:r>
          <w:r>
            <w:rPr>
              <w:rFonts w:hint="eastAsia" w:ascii="仿宋" w:hAnsi="仿宋" w:eastAsia="仿宋" w:cs="仿宋"/>
              <w:b w:val="0"/>
              <w:bCs w:val="0"/>
              <w:sz w:val="28"/>
              <w:szCs w:val="28"/>
              <w:highlight w:val="none"/>
            </w:rPr>
            <w:fldChar w:fldCharType="separate"/>
          </w:r>
        </w:p>
        <w:p w14:paraId="7EFF482F">
          <w:pPr>
            <w:pStyle w:val="18"/>
            <w:tabs>
              <w:tab w:val="right" w:leader="dot" w:pos="8958"/>
            </w:tabs>
            <w:rPr>
              <w:sz w:val="28"/>
              <w:szCs w:val="32"/>
              <w:highlight w:val="none"/>
            </w:rPr>
          </w:pPr>
          <w:r>
            <w:rPr>
              <w:rFonts w:hint="eastAsia" w:ascii="仿宋" w:hAnsi="仿宋" w:eastAsia="仿宋" w:cs="仿宋"/>
              <w:bCs w:val="0"/>
              <w:sz w:val="28"/>
              <w:szCs w:val="40"/>
              <w:highlight w:val="none"/>
            </w:rPr>
            <w:fldChar w:fldCharType="begin"/>
          </w:r>
          <w:r>
            <w:rPr>
              <w:rFonts w:hint="eastAsia" w:ascii="仿宋" w:hAnsi="仿宋" w:eastAsia="仿宋" w:cs="仿宋"/>
              <w:bCs w:val="0"/>
              <w:sz w:val="28"/>
              <w:szCs w:val="40"/>
              <w:highlight w:val="none"/>
            </w:rPr>
            <w:instrText xml:space="preserve"> HYPERLINK \l _Toc1109 </w:instrText>
          </w:r>
          <w:r>
            <w:rPr>
              <w:rFonts w:hint="eastAsia" w:ascii="仿宋" w:hAnsi="仿宋" w:eastAsia="仿宋" w:cs="仿宋"/>
              <w:bCs w:val="0"/>
              <w:sz w:val="28"/>
              <w:szCs w:val="40"/>
              <w:highlight w:val="none"/>
            </w:rPr>
            <w:fldChar w:fldCharType="separate"/>
          </w:r>
          <w:r>
            <w:rPr>
              <w:rFonts w:hint="eastAsia" w:ascii="仿宋" w:hAnsi="仿宋" w:eastAsia="仿宋" w:cs="仿宋"/>
              <w:bCs w:val="0"/>
              <w:sz w:val="28"/>
              <w:szCs w:val="44"/>
              <w:highlight w:val="none"/>
              <w:lang w:eastAsia="zh-CN"/>
            </w:rPr>
            <w:t>第一章</w:t>
          </w:r>
          <w:r>
            <w:rPr>
              <w:rFonts w:hint="eastAsia" w:ascii="仿宋" w:hAnsi="仿宋" w:eastAsia="仿宋" w:cs="仿宋"/>
              <w:bCs w:val="0"/>
              <w:sz w:val="28"/>
              <w:szCs w:val="44"/>
              <w:highlight w:val="none"/>
              <w:lang w:val="en-US" w:eastAsia="zh-CN"/>
            </w:rPr>
            <w:t xml:space="preserve"> </w:t>
          </w:r>
          <w:r>
            <w:rPr>
              <w:rFonts w:hint="eastAsia" w:ascii="仿宋" w:hAnsi="仿宋" w:eastAsia="仿宋" w:cs="仿宋"/>
              <w:bCs w:val="0"/>
              <w:sz w:val="28"/>
              <w:szCs w:val="44"/>
              <w:highlight w:val="none"/>
              <w:lang w:eastAsia="zh-CN"/>
            </w:rPr>
            <w:t>磋商</w:t>
          </w:r>
          <w:r>
            <w:rPr>
              <w:rFonts w:hint="eastAsia" w:ascii="仿宋" w:hAnsi="仿宋" w:eastAsia="仿宋" w:cs="仿宋"/>
              <w:bCs w:val="0"/>
              <w:sz w:val="28"/>
              <w:szCs w:val="44"/>
              <w:highlight w:val="none"/>
            </w:rPr>
            <w:t>邀请</w:t>
          </w:r>
          <w:r>
            <w:rPr>
              <w:sz w:val="28"/>
              <w:szCs w:val="32"/>
              <w:highlight w:val="none"/>
            </w:rPr>
            <w:tab/>
          </w:r>
          <w:r>
            <w:rPr>
              <w:sz w:val="28"/>
              <w:szCs w:val="32"/>
              <w:highlight w:val="none"/>
            </w:rPr>
            <w:fldChar w:fldCharType="begin"/>
          </w:r>
          <w:r>
            <w:rPr>
              <w:sz w:val="28"/>
              <w:szCs w:val="32"/>
              <w:highlight w:val="none"/>
            </w:rPr>
            <w:instrText xml:space="preserve"> PAGEREF _Toc1109 \h </w:instrText>
          </w:r>
          <w:r>
            <w:rPr>
              <w:sz w:val="28"/>
              <w:szCs w:val="32"/>
              <w:highlight w:val="none"/>
            </w:rPr>
            <w:fldChar w:fldCharType="separate"/>
          </w:r>
          <w:r>
            <w:rPr>
              <w:sz w:val="28"/>
              <w:szCs w:val="32"/>
              <w:highlight w:val="none"/>
            </w:rPr>
            <w:t>2</w:t>
          </w:r>
          <w:r>
            <w:rPr>
              <w:sz w:val="28"/>
              <w:szCs w:val="32"/>
              <w:highlight w:val="none"/>
            </w:rPr>
            <w:fldChar w:fldCharType="end"/>
          </w:r>
          <w:r>
            <w:rPr>
              <w:rFonts w:hint="eastAsia" w:ascii="仿宋" w:hAnsi="仿宋" w:eastAsia="仿宋" w:cs="仿宋"/>
              <w:bCs w:val="0"/>
              <w:sz w:val="28"/>
              <w:szCs w:val="40"/>
              <w:highlight w:val="none"/>
            </w:rPr>
            <w:fldChar w:fldCharType="end"/>
          </w:r>
        </w:p>
        <w:p w14:paraId="0B4E7B9E">
          <w:pPr>
            <w:pStyle w:val="18"/>
            <w:tabs>
              <w:tab w:val="right" w:leader="dot" w:pos="8958"/>
            </w:tabs>
            <w:rPr>
              <w:sz w:val="28"/>
              <w:szCs w:val="32"/>
              <w:highlight w:val="none"/>
            </w:rPr>
          </w:pPr>
          <w:r>
            <w:rPr>
              <w:rFonts w:hint="eastAsia" w:ascii="仿宋" w:hAnsi="仿宋" w:eastAsia="仿宋" w:cs="仿宋"/>
              <w:bCs w:val="0"/>
              <w:sz w:val="28"/>
              <w:szCs w:val="40"/>
              <w:highlight w:val="none"/>
            </w:rPr>
            <w:fldChar w:fldCharType="begin"/>
          </w:r>
          <w:r>
            <w:rPr>
              <w:rFonts w:hint="eastAsia" w:ascii="仿宋" w:hAnsi="仿宋" w:eastAsia="仿宋" w:cs="仿宋"/>
              <w:bCs w:val="0"/>
              <w:sz w:val="28"/>
              <w:szCs w:val="40"/>
              <w:highlight w:val="none"/>
            </w:rPr>
            <w:instrText xml:space="preserve"> HYPERLINK \l _Toc27543 </w:instrText>
          </w:r>
          <w:r>
            <w:rPr>
              <w:rFonts w:hint="eastAsia" w:ascii="仿宋" w:hAnsi="仿宋" w:eastAsia="仿宋" w:cs="仿宋"/>
              <w:bCs w:val="0"/>
              <w:sz w:val="28"/>
              <w:szCs w:val="40"/>
              <w:highlight w:val="none"/>
            </w:rPr>
            <w:fldChar w:fldCharType="separate"/>
          </w:r>
          <w:r>
            <w:rPr>
              <w:rFonts w:hint="eastAsia" w:ascii="仿宋" w:hAnsi="仿宋" w:eastAsia="仿宋" w:cs="仿宋"/>
              <w:bCs w:val="0"/>
              <w:sz w:val="28"/>
              <w:szCs w:val="44"/>
              <w:highlight w:val="none"/>
              <w:lang w:eastAsia="zh-CN"/>
            </w:rPr>
            <w:t>第二章</w:t>
          </w:r>
          <w:r>
            <w:rPr>
              <w:rFonts w:hint="eastAsia" w:ascii="仿宋" w:hAnsi="仿宋" w:eastAsia="仿宋" w:cs="仿宋"/>
              <w:bCs w:val="0"/>
              <w:sz w:val="28"/>
              <w:szCs w:val="44"/>
              <w:highlight w:val="none"/>
              <w:lang w:val="en-US" w:eastAsia="zh-CN"/>
            </w:rPr>
            <w:t xml:space="preserve"> </w:t>
          </w:r>
          <w:r>
            <w:rPr>
              <w:rFonts w:hint="eastAsia" w:ascii="仿宋" w:hAnsi="仿宋" w:eastAsia="仿宋" w:cs="仿宋"/>
              <w:bCs w:val="0"/>
              <w:sz w:val="28"/>
              <w:szCs w:val="44"/>
              <w:highlight w:val="none"/>
              <w:lang w:eastAsia="zh-CN"/>
            </w:rPr>
            <w:t>磋商须知</w:t>
          </w:r>
          <w:r>
            <w:rPr>
              <w:sz w:val="28"/>
              <w:szCs w:val="32"/>
              <w:highlight w:val="none"/>
            </w:rPr>
            <w:tab/>
          </w:r>
          <w:r>
            <w:rPr>
              <w:sz w:val="28"/>
              <w:szCs w:val="32"/>
              <w:highlight w:val="none"/>
            </w:rPr>
            <w:fldChar w:fldCharType="begin"/>
          </w:r>
          <w:r>
            <w:rPr>
              <w:sz w:val="28"/>
              <w:szCs w:val="32"/>
              <w:highlight w:val="none"/>
            </w:rPr>
            <w:instrText xml:space="preserve"> PAGEREF _Toc27543 \h </w:instrText>
          </w:r>
          <w:r>
            <w:rPr>
              <w:sz w:val="28"/>
              <w:szCs w:val="32"/>
              <w:highlight w:val="none"/>
            </w:rPr>
            <w:fldChar w:fldCharType="separate"/>
          </w:r>
          <w:r>
            <w:rPr>
              <w:sz w:val="28"/>
              <w:szCs w:val="32"/>
              <w:highlight w:val="none"/>
            </w:rPr>
            <w:t>5</w:t>
          </w:r>
          <w:r>
            <w:rPr>
              <w:sz w:val="28"/>
              <w:szCs w:val="32"/>
              <w:highlight w:val="none"/>
            </w:rPr>
            <w:fldChar w:fldCharType="end"/>
          </w:r>
          <w:r>
            <w:rPr>
              <w:rFonts w:hint="eastAsia" w:ascii="仿宋" w:hAnsi="仿宋" w:eastAsia="仿宋" w:cs="仿宋"/>
              <w:bCs w:val="0"/>
              <w:sz w:val="28"/>
              <w:szCs w:val="40"/>
              <w:highlight w:val="none"/>
            </w:rPr>
            <w:fldChar w:fldCharType="end"/>
          </w:r>
        </w:p>
        <w:p w14:paraId="0910D4E8">
          <w:pPr>
            <w:pStyle w:val="18"/>
            <w:tabs>
              <w:tab w:val="right" w:leader="dot" w:pos="8958"/>
            </w:tabs>
            <w:rPr>
              <w:sz w:val="28"/>
              <w:szCs w:val="32"/>
              <w:highlight w:val="none"/>
            </w:rPr>
          </w:pPr>
          <w:r>
            <w:rPr>
              <w:rFonts w:hint="eastAsia" w:ascii="仿宋" w:hAnsi="仿宋" w:eastAsia="仿宋" w:cs="仿宋"/>
              <w:bCs w:val="0"/>
              <w:sz w:val="28"/>
              <w:szCs w:val="40"/>
              <w:highlight w:val="none"/>
            </w:rPr>
            <w:fldChar w:fldCharType="begin"/>
          </w:r>
          <w:r>
            <w:rPr>
              <w:rFonts w:hint="eastAsia" w:ascii="仿宋" w:hAnsi="仿宋" w:eastAsia="仿宋" w:cs="仿宋"/>
              <w:bCs w:val="0"/>
              <w:sz w:val="28"/>
              <w:szCs w:val="40"/>
              <w:highlight w:val="none"/>
            </w:rPr>
            <w:instrText xml:space="preserve"> HYPERLINK \l _Toc22978 </w:instrText>
          </w:r>
          <w:r>
            <w:rPr>
              <w:rFonts w:hint="eastAsia" w:ascii="仿宋" w:hAnsi="仿宋" w:eastAsia="仿宋" w:cs="仿宋"/>
              <w:bCs w:val="0"/>
              <w:sz w:val="28"/>
              <w:szCs w:val="40"/>
              <w:highlight w:val="none"/>
            </w:rPr>
            <w:fldChar w:fldCharType="separate"/>
          </w:r>
          <w:r>
            <w:rPr>
              <w:rFonts w:ascii="仿宋" w:hAnsi="仿宋" w:eastAsia="仿宋"/>
              <w:bCs w:val="0"/>
              <w:sz w:val="28"/>
              <w:szCs w:val="48"/>
              <w:highlight w:val="none"/>
            </w:rPr>
            <w:t>第</w:t>
          </w:r>
          <w:r>
            <w:rPr>
              <w:rFonts w:hint="eastAsia" w:ascii="仿宋" w:hAnsi="仿宋" w:eastAsia="仿宋"/>
              <w:bCs w:val="0"/>
              <w:sz w:val="28"/>
              <w:szCs w:val="48"/>
              <w:highlight w:val="none"/>
            </w:rPr>
            <w:t>三</w:t>
          </w:r>
          <w:r>
            <w:rPr>
              <w:rFonts w:ascii="仿宋" w:hAnsi="仿宋" w:eastAsia="仿宋"/>
              <w:bCs w:val="0"/>
              <w:sz w:val="28"/>
              <w:szCs w:val="48"/>
              <w:highlight w:val="none"/>
            </w:rPr>
            <w:t>章</w:t>
          </w:r>
          <w:r>
            <w:rPr>
              <w:rFonts w:hint="eastAsia" w:ascii="仿宋" w:hAnsi="仿宋" w:eastAsia="仿宋"/>
              <w:bCs w:val="0"/>
              <w:sz w:val="28"/>
              <w:szCs w:val="48"/>
              <w:highlight w:val="none"/>
            </w:rPr>
            <w:t xml:space="preserve"> 资格</w:t>
          </w:r>
          <w:r>
            <w:rPr>
              <w:rFonts w:hint="eastAsia" w:ascii="仿宋" w:hAnsi="仿宋" w:eastAsia="仿宋"/>
              <w:bCs w:val="0"/>
              <w:sz w:val="28"/>
              <w:szCs w:val="48"/>
              <w:highlight w:val="none"/>
              <w:lang w:val="en-US" w:eastAsia="zh-CN"/>
            </w:rPr>
            <w:t>审查</w:t>
          </w:r>
          <w:r>
            <w:rPr>
              <w:sz w:val="28"/>
              <w:szCs w:val="32"/>
              <w:highlight w:val="none"/>
            </w:rPr>
            <w:tab/>
          </w:r>
          <w:r>
            <w:rPr>
              <w:sz w:val="28"/>
              <w:szCs w:val="32"/>
              <w:highlight w:val="none"/>
            </w:rPr>
            <w:fldChar w:fldCharType="begin"/>
          </w:r>
          <w:r>
            <w:rPr>
              <w:sz w:val="28"/>
              <w:szCs w:val="32"/>
              <w:highlight w:val="none"/>
            </w:rPr>
            <w:instrText xml:space="preserve"> PAGEREF _Toc22978 \h </w:instrText>
          </w:r>
          <w:r>
            <w:rPr>
              <w:sz w:val="28"/>
              <w:szCs w:val="32"/>
              <w:highlight w:val="none"/>
            </w:rPr>
            <w:fldChar w:fldCharType="separate"/>
          </w:r>
          <w:r>
            <w:rPr>
              <w:sz w:val="28"/>
              <w:szCs w:val="32"/>
              <w:highlight w:val="none"/>
            </w:rPr>
            <w:t>18</w:t>
          </w:r>
          <w:r>
            <w:rPr>
              <w:sz w:val="28"/>
              <w:szCs w:val="32"/>
              <w:highlight w:val="none"/>
            </w:rPr>
            <w:fldChar w:fldCharType="end"/>
          </w:r>
          <w:r>
            <w:rPr>
              <w:rFonts w:hint="eastAsia" w:ascii="仿宋" w:hAnsi="仿宋" w:eastAsia="仿宋" w:cs="仿宋"/>
              <w:bCs w:val="0"/>
              <w:sz w:val="28"/>
              <w:szCs w:val="40"/>
              <w:highlight w:val="none"/>
            </w:rPr>
            <w:fldChar w:fldCharType="end"/>
          </w:r>
        </w:p>
        <w:p w14:paraId="5A587F42">
          <w:pPr>
            <w:pStyle w:val="18"/>
            <w:tabs>
              <w:tab w:val="right" w:leader="dot" w:pos="8958"/>
            </w:tabs>
            <w:rPr>
              <w:sz w:val="28"/>
              <w:szCs w:val="32"/>
              <w:highlight w:val="none"/>
            </w:rPr>
          </w:pPr>
          <w:r>
            <w:rPr>
              <w:rFonts w:hint="eastAsia" w:ascii="仿宋" w:hAnsi="仿宋" w:eastAsia="仿宋" w:cs="仿宋"/>
              <w:bCs w:val="0"/>
              <w:sz w:val="28"/>
              <w:szCs w:val="40"/>
              <w:highlight w:val="none"/>
            </w:rPr>
            <w:fldChar w:fldCharType="begin"/>
          </w:r>
          <w:r>
            <w:rPr>
              <w:rFonts w:hint="eastAsia" w:ascii="仿宋" w:hAnsi="仿宋" w:eastAsia="仿宋" w:cs="仿宋"/>
              <w:bCs w:val="0"/>
              <w:sz w:val="28"/>
              <w:szCs w:val="40"/>
              <w:highlight w:val="none"/>
            </w:rPr>
            <w:instrText xml:space="preserve"> HYPERLINK \l _Toc24680 </w:instrText>
          </w:r>
          <w:r>
            <w:rPr>
              <w:rFonts w:hint="eastAsia" w:ascii="仿宋" w:hAnsi="仿宋" w:eastAsia="仿宋" w:cs="仿宋"/>
              <w:bCs w:val="0"/>
              <w:sz w:val="28"/>
              <w:szCs w:val="40"/>
              <w:highlight w:val="none"/>
            </w:rPr>
            <w:fldChar w:fldCharType="separate"/>
          </w:r>
          <w:r>
            <w:rPr>
              <w:rFonts w:hint="eastAsia" w:ascii="仿宋" w:hAnsi="仿宋" w:eastAsia="仿宋"/>
              <w:bCs w:val="0"/>
              <w:sz w:val="28"/>
              <w:szCs w:val="48"/>
              <w:highlight w:val="none"/>
            </w:rPr>
            <w:t>第四章 技术、</w:t>
          </w:r>
          <w:r>
            <w:rPr>
              <w:rFonts w:hint="eastAsia" w:ascii="仿宋" w:hAnsi="仿宋" w:eastAsia="仿宋"/>
              <w:bCs w:val="0"/>
              <w:sz w:val="28"/>
              <w:szCs w:val="48"/>
              <w:highlight w:val="none"/>
              <w:lang w:eastAsia="zh-CN"/>
            </w:rPr>
            <w:t>商务</w:t>
          </w:r>
          <w:r>
            <w:rPr>
              <w:rFonts w:hint="eastAsia" w:ascii="仿宋" w:hAnsi="仿宋" w:eastAsia="仿宋"/>
              <w:bCs w:val="0"/>
              <w:sz w:val="28"/>
              <w:szCs w:val="48"/>
              <w:highlight w:val="none"/>
            </w:rPr>
            <w:t>及其他要求</w:t>
          </w:r>
          <w:r>
            <w:rPr>
              <w:sz w:val="28"/>
              <w:szCs w:val="32"/>
              <w:highlight w:val="none"/>
            </w:rPr>
            <w:tab/>
          </w:r>
          <w:r>
            <w:rPr>
              <w:sz w:val="28"/>
              <w:szCs w:val="32"/>
              <w:highlight w:val="none"/>
            </w:rPr>
            <w:fldChar w:fldCharType="begin"/>
          </w:r>
          <w:r>
            <w:rPr>
              <w:sz w:val="28"/>
              <w:szCs w:val="32"/>
              <w:highlight w:val="none"/>
            </w:rPr>
            <w:instrText xml:space="preserve"> PAGEREF _Toc24680 \h </w:instrText>
          </w:r>
          <w:r>
            <w:rPr>
              <w:sz w:val="28"/>
              <w:szCs w:val="32"/>
              <w:highlight w:val="none"/>
            </w:rPr>
            <w:fldChar w:fldCharType="separate"/>
          </w:r>
          <w:r>
            <w:rPr>
              <w:sz w:val="28"/>
              <w:szCs w:val="32"/>
              <w:highlight w:val="none"/>
            </w:rPr>
            <w:t>22</w:t>
          </w:r>
          <w:r>
            <w:rPr>
              <w:sz w:val="28"/>
              <w:szCs w:val="32"/>
              <w:highlight w:val="none"/>
            </w:rPr>
            <w:fldChar w:fldCharType="end"/>
          </w:r>
          <w:r>
            <w:rPr>
              <w:rFonts w:hint="eastAsia" w:ascii="仿宋" w:hAnsi="仿宋" w:eastAsia="仿宋" w:cs="仿宋"/>
              <w:bCs w:val="0"/>
              <w:sz w:val="28"/>
              <w:szCs w:val="40"/>
              <w:highlight w:val="none"/>
            </w:rPr>
            <w:fldChar w:fldCharType="end"/>
          </w:r>
        </w:p>
        <w:p w14:paraId="723C240B">
          <w:pPr>
            <w:pStyle w:val="18"/>
            <w:tabs>
              <w:tab w:val="right" w:leader="dot" w:pos="8958"/>
            </w:tabs>
            <w:rPr>
              <w:sz w:val="28"/>
              <w:szCs w:val="32"/>
              <w:highlight w:val="none"/>
            </w:rPr>
          </w:pPr>
          <w:r>
            <w:rPr>
              <w:rFonts w:hint="eastAsia" w:ascii="仿宋" w:hAnsi="仿宋" w:eastAsia="仿宋" w:cs="仿宋"/>
              <w:bCs w:val="0"/>
              <w:sz w:val="28"/>
              <w:szCs w:val="40"/>
              <w:highlight w:val="none"/>
            </w:rPr>
            <w:fldChar w:fldCharType="begin"/>
          </w:r>
          <w:r>
            <w:rPr>
              <w:rFonts w:hint="eastAsia" w:ascii="仿宋" w:hAnsi="仿宋" w:eastAsia="仿宋" w:cs="仿宋"/>
              <w:bCs w:val="0"/>
              <w:sz w:val="28"/>
              <w:szCs w:val="40"/>
              <w:highlight w:val="none"/>
            </w:rPr>
            <w:instrText xml:space="preserve"> HYPERLINK \l _Toc10910 </w:instrText>
          </w:r>
          <w:r>
            <w:rPr>
              <w:rFonts w:hint="eastAsia" w:ascii="仿宋" w:hAnsi="仿宋" w:eastAsia="仿宋" w:cs="仿宋"/>
              <w:bCs w:val="0"/>
              <w:sz w:val="28"/>
              <w:szCs w:val="40"/>
              <w:highlight w:val="none"/>
            </w:rPr>
            <w:fldChar w:fldCharType="separate"/>
          </w:r>
          <w:r>
            <w:rPr>
              <w:rFonts w:hint="eastAsia" w:ascii="仿宋" w:hAnsi="仿宋" w:eastAsia="仿宋"/>
              <w:bCs w:val="0"/>
              <w:sz w:val="28"/>
              <w:szCs w:val="48"/>
              <w:highlight w:val="none"/>
            </w:rPr>
            <w:t>第</w:t>
          </w:r>
          <w:r>
            <w:rPr>
              <w:rFonts w:hint="eastAsia" w:ascii="仿宋" w:hAnsi="仿宋" w:eastAsia="仿宋"/>
              <w:bCs w:val="0"/>
              <w:sz w:val="28"/>
              <w:szCs w:val="48"/>
              <w:highlight w:val="none"/>
              <w:lang w:eastAsia="zh-CN"/>
            </w:rPr>
            <w:t>五</w:t>
          </w:r>
          <w:r>
            <w:rPr>
              <w:rFonts w:hint="eastAsia" w:ascii="仿宋" w:hAnsi="仿宋" w:eastAsia="仿宋"/>
              <w:bCs w:val="0"/>
              <w:sz w:val="28"/>
              <w:szCs w:val="48"/>
              <w:highlight w:val="none"/>
            </w:rPr>
            <w:t xml:space="preserve">章 </w:t>
          </w:r>
          <w:r>
            <w:rPr>
              <w:rFonts w:hint="eastAsia" w:ascii="仿宋" w:hAnsi="仿宋" w:eastAsia="仿宋"/>
              <w:bCs w:val="0"/>
              <w:sz w:val="28"/>
              <w:szCs w:val="48"/>
              <w:highlight w:val="none"/>
              <w:lang w:val="en-US" w:eastAsia="zh-CN"/>
            </w:rPr>
            <w:t>磋商内容、磋商过程中可实</w:t>
          </w:r>
          <w:r>
            <w:rPr>
              <w:rFonts w:hint="eastAsia" w:ascii="仿宋" w:hAnsi="仿宋" w:eastAsia="仿宋"/>
              <w:bCs w:val="0"/>
              <w:sz w:val="28"/>
              <w:szCs w:val="48"/>
              <w:highlight w:val="none"/>
            </w:rPr>
            <w:t>质性变动的内容</w:t>
          </w:r>
          <w:r>
            <w:rPr>
              <w:sz w:val="28"/>
              <w:szCs w:val="32"/>
              <w:highlight w:val="none"/>
            </w:rPr>
            <w:tab/>
          </w:r>
          <w:r>
            <w:rPr>
              <w:sz w:val="28"/>
              <w:szCs w:val="32"/>
              <w:highlight w:val="none"/>
            </w:rPr>
            <w:fldChar w:fldCharType="begin"/>
          </w:r>
          <w:r>
            <w:rPr>
              <w:sz w:val="28"/>
              <w:szCs w:val="32"/>
              <w:highlight w:val="none"/>
            </w:rPr>
            <w:instrText xml:space="preserve"> PAGEREF _Toc10910 \h </w:instrText>
          </w:r>
          <w:r>
            <w:rPr>
              <w:sz w:val="28"/>
              <w:szCs w:val="32"/>
              <w:highlight w:val="none"/>
            </w:rPr>
            <w:fldChar w:fldCharType="separate"/>
          </w:r>
          <w:r>
            <w:rPr>
              <w:sz w:val="28"/>
              <w:szCs w:val="32"/>
              <w:highlight w:val="none"/>
            </w:rPr>
            <w:t>30</w:t>
          </w:r>
          <w:r>
            <w:rPr>
              <w:sz w:val="28"/>
              <w:szCs w:val="32"/>
              <w:highlight w:val="none"/>
            </w:rPr>
            <w:fldChar w:fldCharType="end"/>
          </w:r>
          <w:r>
            <w:rPr>
              <w:rFonts w:hint="eastAsia" w:ascii="仿宋" w:hAnsi="仿宋" w:eastAsia="仿宋" w:cs="仿宋"/>
              <w:bCs w:val="0"/>
              <w:sz w:val="28"/>
              <w:szCs w:val="40"/>
              <w:highlight w:val="none"/>
            </w:rPr>
            <w:fldChar w:fldCharType="end"/>
          </w:r>
        </w:p>
        <w:p w14:paraId="70CF01FF">
          <w:pPr>
            <w:pStyle w:val="18"/>
            <w:tabs>
              <w:tab w:val="right" w:leader="dot" w:pos="8958"/>
            </w:tabs>
            <w:rPr>
              <w:sz w:val="28"/>
              <w:szCs w:val="32"/>
              <w:highlight w:val="none"/>
            </w:rPr>
          </w:pPr>
          <w:r>
            <w:rPr>
              <w:rFonts w:hint="eastAsia" w:ascii="仿宋" w:hAnsi="仿宋" w:eastAsia="仿宋" w:cs="仿宋"/>
              <w:bCs w:val="0"/>
              <w:sz w:val="28"/>
              <w:szCs w:val="40"/>
              <w:highlight w:val="none"/>
            </w:rPr>
            <w:fldChar w:fldCharType="begin"/>
          </w:r>
          <w:r>
            <w:rPr>
              <w:rFonts w:hint="eastAsia" w:ascii="仿宋" w:hAnsi="仿宋" w:eastAsia="仿宋" w:cs="仿宋"/>
              <w:bCs w:val="0"/>
              <w:sz w:val="28"/>
              <w:szCs w:val="40"/>
              <w:highlight w:val="none"/>
            </w:rPr>
            <w:instrText xml:space="preserve"> HYPERLINK \l _Toc6952 </w:instrText>
          </w:r>
          <w:r>
            <w:rPr>
              <w:rFonts w:hint="eastAsia" w:ascii="仿宋" w:hAnsi="仿宋" w:eastAsia="仿宋" w:cs="仿宋"/>
              <w:bCs w:val="0"/>
              <w:sz w:val="28"/>
              <w:szCs w:val="40"/>
              <w:highlight w:val="none"/>
            </w:rPr>
            <w:fldChar w:fldCharType="separate"/>
          </w:r>
          <w:r>
            <w:rPr>
              <w:rFonts w:hint="eastAsia" w:ascii="仿宋" w:hAnsi="仿宋" w:eastAsia="仿宋"/>
              <w:bCs w:val="0"/>
              <w:sz w:val="28"/>
              <w:szCs w:val="48"/>
              <w:highlight w:val="none"/>
            </w:rPr>
            <w:t>第</w:t>
          </w:r>
          <w:r>
            <w:rPr>
              <w:rFonts w:hint="eastAsia" w:ascii="仿宋" w:hAnsi="仿宋" w:eastAsia="仿宋"/>
              <w:bCs w:val="0"/>
              <w:sz w:val="28"/>
              <w:szCs w:val="48"/>
              <w:highlight w:val="none"/>
              <w:lang w:eastAsia="zh-CN"/>
            </w:rPr>
            <w:t>六</w:t>
          </w:r>
          <w:r>
            <w:rPr>
              <w:rFonts w:hint="eastAsia" w:ascii="仿宋" w:hAnsi="仿宋" w:eastAsia="仿宋"/>
              <w:bCs w:val="0"/>
              <w:sz w:val="28"/>
              <w:szCs w:val="48"/>
              <w:highlight w:val="none"/>
            </w:rPr>
            <w:t>章 响应文件格式</w:t>
          </w:r>
          <w:r>
            <w:rPr>
              <w:sz w:val="28"/>
              <w:szCs w:val="32"/>
              <w:highlight w:val="none"/>
            </w:rPr>
            <w:tab/>
          </w:r>
          <w:r>
            <w:rPr>
              <w:sz w:val="28"/>
              <w:szCs w:val="32"/>
              <w:highlight w:val="none"/>
            </w:rPr>
            <w:fldChar w:fldCharType="begin"/>
          </w:r>
          <w:r>
            <w:rPr>
              <w:sz w:val="28"/>
              <w:szCs w:val="32"/>
              <w:highlight w:val="none"/>
            </w:rPr>
            <w:instrText xml:space="preserve"> PAGEREF _Toc6952 \h </w:instrText>
          </w:r>
          <w:r>
            <w:rPr>
              <w:sz w:val="28"/>
              <w:szCs w:val="32"/>
              <w:highlight w:val="none"/>
            </w:rPr>
            <w:fldChar w:fldCharType="separate"/>
          </w:r>
          <w:r>
            <w:rPr>
              <w:sz w:val="28"/>
              <w:szCs w:val="32"/>
              <w:highlight w:val="none"/>
            </w:rPr>
            <w:t>31</w:t>
          </w:r>
          <w:r>
            <w:rPr>
              <w:sz w:val="28"/>
              <w:szCs w:val="32"/>
              <w:highlight w:val="none"/>
            </w:rPr>
            <w:fldChar w:fldCharType="end"/>
          </w:r>
          <w:r>
            <w:rPr>
              <w:rFonts w:hint="eastAsia" w:ascii="仿宋" w:hAnsi="仿宋" w:eastAsia="仿宋" w:cs="仿宋"/>
              <w:bCs w:val="0"/>
              <w:sz w:val="28"/>
              <w:szCs w:val="40"/>
              <w:highlight w:val="none"/>
            </w:rPr>
            <w:fldChar w:fldCharType="end"/>
          </w:r>
        </w:p>
        <w:p w14:paraId="042B882E">
          <w:pPr>
            <w:pStyle w:val="18"/>
            <w:tabs>
              <w:tab w:val="right" w:leader="dot" w:pos="8958"/>
            </w:tabs>
            <w:rPr>
              <w:sz w:val="28"/>
              <w:szCs w:val="32"/>
              <w:highlight w:val="none"/>
            </w:rPr>
          </w:pPr>
          <w:r>
            <w:rPr>
              <w:rFonts w:hint="eastAsia" w:ascii="仿宋" w:hAnsi="仿宋" w:eastAsia="仿宋" w:cs="仿宋"/>
              <w:bCs w:val="0"/>
              <w:sz w:val="28"/>
              <w:szCs w:val="40"/>
              <w:highlight w:val="none"/>
            </w:rPr>
            <w:fldChar w:fldCharType="begin"/>
          </w:r>
          <w:r>
            <w:rPr>
              <w:rFonts w:hint="eastAsia" w:ascii="仿宋" w:hAnsi="仿宋" w:eastAsia="仿宋" w:cs="仿宋"/>
              <w:bCs w:val="0"/>
              <w:sz w:val="28"/>
              <w:szCs w:val="40"/>
              <w:highlight w:val="none"/>
            </w:rPr>
            <w:instrText xml:space="preserve"> HYPERLINK \l _Toc18483 </w:instrText>
          </w:r>
          <w:r>
            <w:rPr>
              <w:rFonts w:hint="eastAsia" w:ascii="仿宋" w:hAnsi="仿宋" w:eastAsia="仿宋" w:cs="仿宋"/>
              <w:bCs w:val="0"/>
              <w:sz w:val="28"/>
              <w:szCs w:val="40"/>
              <w:highlight w:val="none"/>
            </w:rPr>
            <w:fldChar w:fldCharType="separate"/>
          </w:r>
          <w:r>
            <w:rPr>
              <w:rFonts w:hint="eastAsia" w:ascii="仿宋" w:hAnsi="仿宋" w:eastAsia="仿宋"/>
              <w:bCs w:val="0"/>
              <w:sz w:val="28"/>
              <w:szCs w:val="48"/>
              <w:highlight w:val="none"/>
            </w:rPr>
            <w:t>第</w:t>
          </w:r>
          <w:r>
            <w:rPr>
              <w:rFonts w:hint="eastAsia" w:ascii="仿宋" w:hAnsi="仿宋" w:eastAsia="仿宋"/>
              <w:bCs w:val="0"/>
              <w:sz w:val="28"/>
              <w:szCs w:val="48"/>
              <w:highlight w:val="none"/>
              <w:lang w:eastAsia="zh-CN"/>
            </w:rPr>
            <w:t>七</w:t>
          </w:r>
          <w:r>
            <w:rPr>
              <w:rFonts w:hint="eastAsia" w:ascii="仿宋" w:hAnsi="仿宋" w:eastAsia="仿宋"/>
              <w:bCs w:val="0"/>
              <w:sz w:val="28"/>
              <w:szCs w:val="48"/>
              <w:highlight w:val="none"/>
            </w:rPr>
            <w:t>章 评审办法</w:t>
          </w:r>
          <w:r>
            <w:rPr>
              <w:sz w:val="28"/>
              <w:szCs w:val="32"/>
              <w:highlight w:val="none"/>
            </w:rPr>
            <w:tab/>
          </w:r>
          <w:r>
            <w:rPr>
              <w:sz w:val="28"/>
              <w:szCs w:val="32"/>
              <w:highlight w:val="none"/>
            </w:rPr>
            <w:fldChar w:fldCharType="begin"/>
          </w:r>
          <w:r>
            <w:rPr>
              <w:sz w:val="28"/>
              <w:szCs w:val="32"/>
              <w:highlight w:val="none"/>
            </w:rPr>
            <w:instrText xml:space="preserve"> PAGEREF _Toc18483 \h </w:instrText>
          </w:r>
          <w:r>
            <w:rPr>
              <w:sz w:val="28"/>
              <w:szCs w:val="32"/>
              <w:highlight w:val="none"/>
            </w:rPr>
            <w:fldChar w:fldCharType="separate"/>
          </w:r>
          <w:r>
            <w:rPr>
              <w:sz w:val="28"/>
              <w:szCs w:val="32"/>
              <w:highlight w:val="none"/>
            </w:rPr>
            <w:t>48</w:t>
          </w:r>
          <w:r>
            <w:rPr>
              <w:sz w:val="28"/>
              <w:szCs w:val="32"/>
              <w:highlight w:val="none"/>
            </w:rPr>
            <w:fldChar w:fldCharType="end"/>
          </w:r>
          <w:r>
            <w:rPr>
              <w:rFonts w:hint="eastAsia" w:ascii="仿宋" w:hAnsi="仿宋" w:eastAsia="仿宋" w:cs="仿宋"/>
              <w:bCs w:val="0"/>
              <w:sz w:val="28"/>
              <w:szCs w:val="40"/>
              <w:highlight w:val="none"/>
            </w:rPr>
            <w:fldChar w:fldCharType="end"/>
          </w:r>
        </w:p>
        <w:p w14:paraId="4CCF53FD">
          <w:pPr>
            <w:pStyle w:val="18"/>
            <w:tabs>
              <w:tab w:val="right" w:leader="dot" w:pos="8958"/>
            </w:tabs>
            <w:rPr>
              <w:sz w:val="28"/>
              <w:szCs w:val="32"/>
              <w:highlight w:val="none"/>
            </w:rPr>
          </w:pPr>
          <w:r>
            <w:rPr>
              <w:rFonts w:hint="eastAsia" w:ascii="仿宋" w:hAnsi="仿宋" w:eastAsia="仿宋" w:cs="仿宋"/>
              <w:bCs w:val="0"/>
              <w:sz w:val="28"/>
              <w:szCs w:val="40"/>
              <w:highlight w:val="none"/>
            </w:rPr>
            <w:fldChar w:fldCharType="begin"/>
          </w:r>
          <w:r>
            <w:rPr>
              <w:rFonts w:hint="eastAsia" w:ascii="仿宋" w:hAnsi="仿宋" w:eastAsia="仿宋" w:cs="仿宋"/>
              <w:bCs w:val="0"/>
              <w:sz w:val="28"/>
              <w:szCs w:val="40"/>
              <w:highlight w:val="none"/>
            </w:rPr>
            <w:instrText xml:space="preserve"> HYPERLINK \l _Toc16524 </w:instrText>
          </w:r>
          <w:r>
            <w:rPr>
              <w:rFonts w:hint="eastAsia" w:ascii="仿宋" w:hAnsi="仿宋" w:eastAsia="仿宋" w:cs="仿宋"/>
              <w:bCs w:val="0"/>
              <w:sz w:val="28"/>
              <w:szCs w:val="40"/>
              <w:highlight w:val="none"/>
            </w:rPr>
            <w:fldChar w:fldCharType="separate"/>
          </w:r>
          <w:r>
            <w:rPr>
              <w:rFonts w:hint="eastAsia" w:ascii="仿宋" w:hAnsi="仿宋" w:eastAsia="仿宋"/>
              <w:bCs w:val="0"/>
              <w:sz w:val="28"/>
              <w:szCs w:val="48"/>
              <w:highlight w:val="none"/>
            </w:rPr>
            <w:t>第</w:t>
          </w:r>
          <w:r>
            <w:rPr>
              <w:rFonts w:hint="eastAsia" w:ascii="仿宋" w:hAnsi="仿宋" w:eastAsia="仿宋"/>
              <w:bCs w:val="0"/>
              <w:sz w:val="28"/>
              <w:szCs w:val="48"/>
              <w:highlight w:val="none"/>
              <w:lang w:eastAsia="zh-CN"/>
            </w:rPr>
            <w:t>八</w:t>
          </w:r>
          <w:r>
            <w:rPr>
              <w:rFonts w:hint="eastAsia" w:ascii="仿宋" w:hAnsi="仿宋" w:eastAsia="仿宋"/>
              <w:bCs w:val="0"/>
              <w:sz w:val="28"/>
              <w:szCs w:val="48"/>
              <w:highlight w:val="none"/>
            </w:rPr>
            <w:t>章 采购合同（草案）</w:t>
          </w:r>
          <w:r>
            <w:rPr>
              <w:sz w:val="28"/>
              <w:szCs w:val="32"/>
              <w:highlight w:val="none"/>
            </w:rPr>
            <w:tab/>
          </w:r>
          <w:r>
            <w:rPr>
              <w:sz w:val="28"/>
              <w:szCs w:val="32"/>
              <w:highlight w:val="none"/>
            </w:rPr>
            <w:fldChar w:fldCharType="begin"/>
          </w:r>
          <w:r>
            <w:rPr>
              <w:sz w:val="28"/>
              <w:szCs w:val="32"/>
              <w:highlight w:val="none"/>
            </w:rPr>
            <w:instrText xml:space="preserve"> PAGEREF _Toc16524 \h </w:instrText>
          </w:r>
          <w:r>
            <w:rPr>
              <w:sz w:val="28"/>
              <w:szCs w:val="32"/>
              <w:highlight w:val="none"/>
            </w:rPr>
            <w:fldChar w:fldCharType="separate"/>
          </w:r>
          <w:r>
            <w:rPr>
              <w:sz w:val="28"/>
              <w:szCs w:val="32"/>
              <w:highlight w:val="none"/>
            </w:rPr>
            <w:t>59</w:t>
          </w:r>
          <w:r>
            <w:rPr>
              <w:sz w:val="28"/>
              <w:szCs w:val="32"/>
              <w:highlight w:val="none"/>
            </w:rPr>
            <w:fldChar w:fldCharType="end"/>
          </w:r>
          <w:r>
            <w:rPr>
              <w:rFonts w:hint="eastAsia" w:ascii="仿宋" w:hAnsi="仿宋" w:eastAsia="仿宋" w:cs="仿宋"/>
              <w:bCs w:val="0"/>
              <w:sz w:val="28"/>
              <w:szCs w:val="40"/>
              <w:highlight w:val="none"/>
            </w:rPr>
            <w:fldChar w:fldCharType="end"/>
          </w:r>
        </w:p>
        <w:p w14:paraId="6025A5D4">
          <w:pPr>
            <w:pStyle w:val="18"/>
            <w:keepNext w:val="0"/>
            <w:keepLines w:val="0"/>
            <w:pageBreakBefore w:val="0"/>
            <w:widowControl/>
            <w:tabs>
              <w:tab w:val="right" w:leader="dot" w:pos="8958"/>
            </w:tabs>
            <w:kinsoku/>
            <w:wordWrap/>
            <w:overflowPunct/>
            <w:topLinePunct w:val="0"/>
            <w:autoSpaceDE/>
            <w:autoSpaceDN/>
            <w:bidi w:val="0"/>
            <w:adjustRightInd/>
            <w:snapToGrid/>
            <w:spacing w:line="360" w:lineRule="auto"/>
            <w:jc w:val="both"/>
            <w:textAlignment w:val="auto"/>
            <w:rPr>
              <w:rFonts w:ascii="Times New Roman" w:hAnsi="Times New Roman" w:eastAsia="黑体" w:cs="Times New Roman"/>
              <w:bCs/>
              <w:kern w:val="2"/>
              <w:sz w:val="21"/>
              <w:szCs w:val="32"/>
              <w:highlight w:val="none"/>
              <w:lang w:val="en-US" w:eastAsia="zh-CN" w:bidi="ar-SA"/>
            </w:rPr>
          </w:pPr>
          <w:r>
            <w:rPr>
              <w:rFonts w:hint="eastAsia" w:ascii="仿宋" w:hAnsi="仿宋" w:eastAsia="仿宋" w:cs="仿宋"/>
              <w:bCs w:val="0"/>
              <w:sz w:val="28"/>
              <w:szCs w:val="28"/>
              <w:highlight w:val="none"/>
            </w:rPr>
            <w:fldChar w:fldCharType="end"/>
          </w:r>
        </w:p>
      </w:sdtContent>
    </w:sdt>
    <w:p w14:paraId="6B0F9477">
      <w:pPr>
        <w:bidi w:val="0"/>
        <w:rPr>
          <w:highlight w:val="none"/>
          <w:lang w:val="en-US" w:eastAsia="zh-CN"/>
        </w:rPr>
      </w:pPr>
    </w:p>
    <w:p w14:paraId="52E6196E">
      <w:pPr>
        <w:tabs>
          <w:tab w:val="center" w:pos="4110"/>
        </w:tabs>
        <w:bidi w:val="0"/>
        <w:jc w:val="left"/>
        <w:rPr>
          <w:rFonts w:hint="eastAsia"/>
          <w:highlight w:val="none"/>
          <w:lang w:val="en-US" w:eastAsia="zh-CN"/>
        </w:rPr>
      </w:pPr>
      <w:r>
        <w:rPr>
          <w:rFonts w:hint="eastAsia"/>
          <w:highlight w:val="none"/>
          <w:lang w:val="en-US" w:eastAsia="zh-CN"/>
        </w:rPr>
        <w:tab/>
      </w:r>
      <w:bookmarkStart w:id="1" w:name="_Toc62832406"/>
      <w:bookmarkStart w:id="2" w:name="_Toc471310326"/>
      <w:bookmarkStart w:id="3" w:name="_Toc20358"/>
    </w:p>
    <w:p w14:paraId="1C9D061F">
      <w:pPr>
        <w:rPr>
          <w:rFonts w:hint="eastAsia"/>
          <w:highlight w:val="none"/>
          <w:lang w:val="en-US" w:eastAsia="zh-CN"/>
        </w:rPr>
      </w:pPr>
      <w:r>
        <w:rPr>
          <w:rFonts w:hint="eastAsia"/>
          <w:highlight w:val="none"/>
          <w:lang w:val="en-US" w:eastAsia="zh-CN"/>
        </w:rPr>
        <w:br w:type="page"/>
      </w:r>
    </w:p>
    <w:p w14:paraId="4ED69158">
      <w:pPr>
        <w:widowControl/>
        <w:spacing w:line="520" w:lineRule="exact"/>
        <w:jc w:val="center"/>
        <w:outlineLvl w:val="0"/>
        <w:rPr>
          <w:rFonts w:hint="eastAsia" w:ascii="仿宋" w:hAnsi="仿宋" w:eastAsia="仿宋" w:cs="仿宋"/>
          <w:b/>
          <w:bCs w:val="0"/>
          <w:sz w:val="36"/>
          <w:szCs w:val="32"/>
          <w:highlight w:val="none"/>
        </w:rPr>
      </w:pPr>
      <w:bookmarkStart w:id="4" w:name="_Toc1109"/>
      <w:r>
        <w:rPr>
          <w:rFonts w:hint="eastAsia" w:ascii="仿宋" w:hAnsi="仿宋" w:eastAsia="仿宋" w:cs="仿宋"/>
          <w:b/>
          <w:bCs w:val="0"/>
          <w:sz w:val="36"/>
          <w:szCs w:val="32"/>
          <w:highlight w:val="none"/>
          <w:lang w:eastAsia="zh-CN"/>
        </w:rPr>
        <w:t>第一章</w:t>
      </w:r>
      <w:r>
        <w:rPr>
          <w:rFonts w:hint="eastAsia" w:ascii="仿宋" w:hAnsi="仿宋" w:eastAsia="仿宋" w:cs="仿宋"/>
          <w:b/>
          <w:bCs w:val="0"/>
          <w:sz w:val="36"/>
          <w:szCs w:val="32"/>
          <w:highlight w:val="none"/>
          <w:lang w:val="en-US" w:eastAsia="zh-CN"/>
        </w:rPr>
        <w:t xml:space="preserve"> </w:t>
      </w:r>
      <w:r>
        <w:rPr>
          <w:rFonts w:hint="eastAsia" w:ascii="仿宋" w:hAnsi="仿宋" w:eastAsia="仿宋" w:cs="仿宋"/>
          <w:b/>
          <w:bCs w:val="0"/>
          <w:sz w:val="36"/>
          <w:szCs w:val="32"/>
          <w:highlight w:val="none"/>
          <w:lang w:eastAsia="zh-CN"/>
        </w:rPr>
        <w:t>磋商</w:t>
      </w:r>
      <w:r>
        <w:rPr>
          <w:rFonts w:hint="eastAsia" w:ascii="仿宋" w:hAnsi="仿宋" w:eastAsia="仿宋" w:cs="仿宋"/>
          <w:b/>
          <w:bCs w:val="0"/>
          <w:sz w:val="36"/>
          <w:szCs w:val="32"/>
          <w:highlight w:val="none"/>
        </w:rPr>
        <w:t>邀请</w:t>
      </w:r>
      <w:bookmarkEnd w:id="1"/>
      <w:bookmarkEnd w:id="2"/>
      <w:bookmarkEnd w:id="3"/>
      <w:bookmarkEnd w:id="4"/>
    </w:p>
    <w:p w14:paraId="479FFB02">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b/>
          <w:bCs w:val="0"/>
          <w:sz w:val="36"/>
          <w:szCs w:val="32"/>
          <w:highlight w:val="none"/>
        </w:rPr>
      </w:pPr>
    </w:p>
    <w:p w14:paraId="2EF0AB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single"/>
          <w:lang w:val="en-US" w:eastAsia="zh-CN"/>
        </w:rPr>
      </w:pPr>
      <w:r>
        <w:rPr>
          <w:rFonts w:hint="eastAsia" w:ascii="Times New Roman" w:hAnsi="Times New Roman" w:eastAsia="仿宋" w:cs="Times New Roman"/>
          <w:color w:val="auto"/>
          <w:sz w:val="24"/>
          <w:szCs w:val="24"/>
          <w:highlight w:val="none"/>
          <w:lang w:eastAsia="zh-CN"/>
        </w:rPr>
        <w:t>恒泰工程咨询集团有限公司</w:t>
      </w:r>
      <w:r>
        <w:rPr>
          <w:rFonts w:hint="eastAsia" w:ascii="Times New Roman" w:hAnsi="Times New Roman" w:eastAsia="仿宋" w:cs="Times New Roman"/>
          <w:color w:val="auto"/>
          <w:sz w:val="24"/>
          <w:szCs w:val="24"/>
          <w:highlight w:val="none"/>
          <w:lang w:val="en-US" w:eastAsia="zh-CN"/>
        </w:rPr>
        <w:t>（以下简称“采购代理机构”）</w:t>
      </w:r>
      <w:r>
        <w:rPr>
          <w:rFonts w:hint="eastAsia" w:ascii="Times New Roman" w:hAnsi="Times New Roman" w:eastAsia="仿宋" w:cs="Times New Roman"/>
          <w:color w:val="auto"/>
          <w:sz w:val="24"/>
          <w:szCs w:val="24"/>
          <w:highlight w:val="none"/>
        </w:rPr>
        <w:t>受成都市技师学院（成都工贸职业技术学院）（以下简称“采购人”）的委托，拟对</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b/>
          <w:bCs/>
          <w:color w:val="auto"/>
          <w:sz w:val="24"/>
          <w:szCs w:val="24"/>
          <w:highlight w:val="none"/>
          <w:lang w:eastAsia="zh-CN"/>
        </w:rPr>
        <w:t>成都市技师学院（成都工贸职业技术学院）2025年电气教学实训耗材采购项目</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u w:val="none"/>
          <w:lang w:val="en-US" w:eastAsia="zh-CN"/>
        </w:rPr>
        <w:t>采用竞争性磋商方式进行采购，兹邀请符合本次磋商要求的供应商参加本项目的竞争性磋商。</w:t>
      </w:r>
    </w:p>
    <w:p w14:paraId="612583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一、项目名称</w:t>
      </w:r>
    </w:p>
    <w:p w14:paraId="5835DD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成都市技师学院（成都工贸职业技术学院）2025年电气教学实训耗材采购项目</w:t>
      </w:r>
    </w:p>
    <w:p w14:paraId="2E24B4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二、项目编号</w:t>
      </w:r>
    </w:p>
    <w:p w14:paraId="184DC4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HT-【采】20250319</w:t>
      </w:r>
    </w:p>
    <w:p w14:paraId="2C24C8B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三、项目简介</w:t>
      </w:r>
    </w:p>
    <w:p w14:paraId="331238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采购详情见第四章。</w:t>
      </w:r>
    </w:p>
    <w:p w14:paraId="46118A5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四、供应商参加本次采购活动应具备下列条件</w:t>
      </w:r>
    </w:p>
    <w:p w14:paraId="2F4725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bookmarkStart w:id="5" w:name="_Hlk533582570"/>
      <w:r>
        <w:rPr>
          <w:rFonts w:hint="eastAsia" w:ascii="Times New Roman" w:hAnsi="Times New Roman" w:eastAsia="仿宋" w:cs="Times New Roman"/>
          <w:color w:val="auto"/>
          <w:sz w:val="24"/>
          <w:szCs w:val="24"/>
          <w:highlight w:val="none"/>
          <w:lang w:val="en-US" w:eastAsia="zh-CN"/>
        </w:rPr>
        <w:t>（一）具有独立承担民事责任的能力；</w:t>
      </w:r>
    </w:p>
    <w:p w14:paraId="176FA6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（二）具有良好的商业信誉和健全的财务会计制度；</w:t>
      </w:r>
    </w:p>
    <w:p w14:paraId="3ACAD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（三）具有履行合同所必需的设备和专业技术能力；</w:t>
      </w:r>
    </w:p>
    <w:p w14:paraId="5B748C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（四）有依法缴纳税收和社会保障资金的良好记录；</w:t>
      </w:r>
    </w:p>
    <w:p w14:paraId="017352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（五）参加本次采购活动前三年内，在经营活动中没有重大违法记录；</w:t>
      </w:r>
    </w:p>
    <w:p w14:paraId="018EA1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（六）法律、行政法规规定的其他条件；</w:t>
      </w:r>
    </w:p>
    <w:p w14:paraId="27BD78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（七）本项目的特定资格要求：1、供应商单位及其现任法定代表人、主要负责人在参加本次采购活动前三年内无行贿犯罪记录；2、本项目不接受联合体。</w:t>
      </w:r>
    </w:p>
    <w:bookmarkEnd w:id="5"/>
    <w:p w14:paraId="1210E6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五</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eastAsia="zh-CN"/>
        </w:rPr>
        <w:t>磋商</w:t>
      </w:r>
      <w:r>
        <w:rPr>
          <w:rFonts w:ascii="Times New Roman" w:hAnsi="Times New Roman" w:eastAsia="仿宋" w:cs="Times New Roman"/>
          <w:b/>
          <w:sz w:val="24"/>
          <w:szCs w:val="24"/>
          <w:highlight w:val="none"/>
        </w:rPr>
        <w:t>公告</w:t>
      </w:r>
      <w:r>
        <w:rPr>
          <w:rFonts w:hint="eastAsia" w:ascii="Times New Roman" w:hAnsi="Times New Roman" w:eastAsia="仿宋" w:cs="Times New Roman"/>
          <w:b/>
          <w:sz w:val="24"/>
          <w:szCs w:val="24"/>
          <w:highlight w:val="none"/>
        </w:rPr>
        <w:t>发布的媒体</w:t>
      </w:r>
    </w:p>
    <w:p w14:paraId="5B15C3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本</w:t>
      </w:r>
      <w:r>
        <w:rPr>
          <w:rFonts w:hint="eastAsia" w:ascii="Times New Roman" w:hAnsi="Times New Roman" w:eastAsia="仿宋" w:cs="Times New Roman"/>
          <w:sz w:val="24"/>
          <w:szCs w:val="24"/>
          <w:highlight w:val="none"/>
          <w:lang w:val="en-US" w:eastAsia="zh-CN"/>
        </w:rPr>
        <w:t>次磋商邀请</w:t>
      </w:r>
      <w:r>
        <w:rPr>
          <w:rFonts w:hint="eastAsia" w:ascii="Times New Roman" w:hAnsi="Times New Roman" w:eastAsia="仿宋" w:cs="Times New Roman"/>
          <w:sz w:val="24"/>
          <w:szCs w:val="24"/>
          <w:highlight w:val="none"/>
        </w:rPr>
        <w:t>在</w:t>
      </w:r>
      <w:r>
        <w:rPr>
          <w:rFonts w:hint="eastAsia" w:ascii="Times New Roman" w:hAnsi="Times New Roman" w:eastAsia="仿宋" w:cs="Times New Roman"/>
          <w:sz w:val="24"/>
          <w:szCs w:val="24"/>
          <w:highlight w:val="none"/>
          <w:lang w:val="en-US" w:eastAsia="zh-CN"/>
        </w:rPr>
        <w:t>中国招标投标公共服务平台</w:t>
      </w:r>
      <w:r>
        <w:rPr>
          <w:rFonts w:hint="eastAsia" w:ascii="Times New Roman" w:hAnsi="Times New Roman" w:eastAsia="仿宋" w:cs="Times New Roman"/>
          <w:sz w:val="24"/>
          <w:szCs w:val="24"/>
          <w:highlight w:val="none"/>
        </w:rPr>
        <w:t>（www.cebpubservice.com）发布。</w:t>
      </w:r>
    </w:p>
    <w:p w14:paraId="3BEB34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六</w:t>
      </w:r>
      <w:r>
        <w:rPr>
          <w:rFonts w:hint="eastAsia" w:ascii="Times New Roman" w:hAnsi="Times New Roman" w:eastAsia="仿宋" w:cs="Times New Roman"/>
          <w:b/>
          <w:sz w:val="24"/>
          <w:szCs w:val="24"/>
          <w:highlight w:val="none"/>
        </w:rPr>
        <w:t>、禁止参加本次采购活动的供应商</w:t>
      </w:r>
    </w:p>
    <w:p w14:paraId="0C6CAA30">
      <w:pPr>
        <w:keepNext w:val="0"/>
        <w:keepLines w:val="0"/>
        <w:pageBreakBefore w:val="0"/>
        <w:widowControl w:val="0"/>
        <w:tabs>
          <w:tab w:val="left" w:pos="6255"/>
        </w:tabs>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eastAsia="zh-CN"/>
        </w:rPr>
        <w:t>参照</w:t>
      </w:r>
      <w:r>
        <w:rPr>
          <w:rFonts w:hint="eastAsia" w:ascii="Times New Roman" w:hAnsi="Times New Roman" w:eastAsia="仿宋" w:cs="Times New Roman"/>
          <w:sz w:val="24"/>
          <w:szCs w:val="24"/>
          <w:highlight w:val="none"/>
        </w:rPr>
        <w:t>《关于在政府采购活动中查询及使用信用记录有关问题的通知》（财库〔2016〕125号）的要求，采购人</w:t>
      </w:r>
      <w:r>
        <w:rPr>
          <w:rFonts w:hint="eastAsia" w:ascii="Times New Roman" w:hAnsi="Times New Roman" w:eastAsia="仿宋" w:cs="Times New Roman"/>
          <w:sz w:val="24"/>
          <w:szCs w:val="24"/>
          <w:highlight w:val="none"/>
          <w:lang w:val="en-US" w:eastAsia="zh-CN"/>
        </w:rPr>
        <w:t>或</w:t>
      </w:r>
      <w:r>
        <w:rPr>
          <w:rFonts w:hint="eastAsia" w:ascii="Times New Roman" w:hAnsi="Times New Roman" w:eastAsia="仿宋" w:cs="Times New Roman"/>
          <w:sz w:val="24"/>
          <w:szCs w:val="24"/>
          <w:highlight w:val="none"/>
        </w:rPr>
        <w:t>采购代理机构将通过“信用中国”网站（www.creditchina.gov.cn）、“中国政府采购网”网站（www.ccgp.gov.cn）等渠道查询供应商在</w:t>
      </w:r>
      <w:r>
        <w:rPr>
          <w:rFonts w:hint="eastAsia" w:ascii="Times New Roman" w:hAnsi="Times New Roman" w:eastAsia="仿宋" w:cs="Times New Roman"/>
          <w:sz w:val="24"/>
          <w:szCs w:val="24"/>
          <w:highlight w:val="none"/>
          <w:lang w:val="en-US" w:eastAsia="zh-CN"/>
        </w:rPr>
        <w:t>提交首次响应文件截止之日前</w:t>
      </w:r>
      <w:r>
        <w:rPr>
          <w:rFonts w:hint="eastAsia" w:ascii="Times New Roman" w:hAnsi="Times New Roman" w:eastAsia="仿宋" w:cs="Times New Roman"/>
          <w:sz w:val="24"/>
          <w:szCs w:val="24"/>
          <w:highlight w:val="none"/>
        </w:rPr>
        <w:t>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14:paraId="7C8D0A5C">
      <w:pPr>
        <w:keepNext w:val="0"/>
        <w:keepLines w:val="0"/>
        <w:pageBreakBefore w:val="0"/>
        <w:widowControl w:val="0"/>
        <w:tabs>
          <w:tab w:val="left" w:pos="6255"/>
        </w:tabs>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七</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eastAsia="zh-CN"/>
        </w:rPr>
        <w:t>磋商</w:t>
      </w:r>
      <w:r>
        <w:rPr>
          <w:rFonts w:hint="eastAsia" w:ascii="Times New Roman" w:hAnsi="Times New Roman" w:eastAsia="仿宋" w:cs="Times New Roman"/>
          <w:b/>
          <w:sz w:val="24"/>
          <w:szCs w:val="24"/>
          <w:highlight w:val="none"/>
        </w:rPr>
        <w:t>文件获取</w:t>
      </w:r>
      <w:r>
        <w:rPr>
          <w:rFonts w:hint="eastAsia" w:ascii="Times New Roman" w:hAnsi="Times New Roman" w:eastAsia="仿宋" w:cs="Times New Roman"/>
          <w:b/>
          <w:sz w:val="24"/>
          <w:szCs w:val="24"/>
          <w:highlight w:val="none"/>
          <w:lang w:val="en-US" w:eastAsia="zh-CN"/>
        </w:rPr>
        <w:t>的</w:t>
      </w:r>
      <w:r>
        <w:rPr>
          <w:rFonts w:hint="eastAsia" w:ascii="Times New Roman" w:hAnsi="Times New Roman" w:eastAsia="仿宋" w:cs="Times New Roman"/>
          <w:b/>
          <w:sz w:val="24"/>
          <w:szCs w:val="24"/>
          <w:highlight w:val="none"/>
        </w:rPr>
        <w:t>方式</w:t>
      </w:r>
    </w:p>
    <w:p w14:paraId="1F900898">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1.获取时间：</w:t>
      </w:r>
      <w:r>
        <w:rPr>
          <w:rFonts w:hint="eastAsia" w:ascii="仿宋" w:hAnsi="仿宋" w:eastAsia="仿宋" w:cs="仿宋"/>
          <w:b w:val="0"/>
          <w:bCs w:val="0"/>
          <w:kern w:val="2"/>
          <w:sz w:val="24"/>
          <w:szCs w:val="24"/>
          <w:highlight w:val="none"/>
          <w:lang w:val="en-US" w:eastAsia="zh-CN" w:bidi="ar-SA"/>
        </w:rPr>
        <w:t>2025年03月25日至2025年03月31日；</w:t>
      </w:r>
    </w:p>
    <w:p w14:paraId="58B42430">
      <w:pPr>
        <w:pStyle w:val="2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上午9:00:00-12:00:00；下午12:00:00-17:00:00（北京时间）法定节假日除外</w:t>
      </w:r>
    </w:p>
    <w:p w14:paraId="7AAECFFF">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sz w:val="24"/>
          <w:highlight w:val="none"/>
        </w:rPr>
      </w:pPr>
      <w:r>
        <w:rPr>
          <w:rFonts w:hint="eastAsia" w:ascii="仿宋" w:hAnsi="仿宋" w:eastAsia="仿宋" w:cs="仿宋"/>
          <w:b/>
          <w:bCs/>
          <w:kern w:val="2"/>
          <w:sz w:val="24"/>
          <w:szCs w:val="24"/>
          <w:highlight w:val="none"/>
          <w:lang w:val="en-US" w:eastAsia="zh-CN" w:bidi="ar-SA"/>
        </w:rPr>
        <w:t>2.获取方式：</w:t>
      </w:r>
      <w:r>
        <w:rPr>
          <w:rFonts w:hint="eastAsia" w:ascii="仿宋" w:hAnsi="仿宋" w:eastAsia="仿宋"/>
          <w:sz w:val="24"/>
          <w:highlight w:val="none"/>
        </w:rPr>
        <w:t>凡有意参加本项目的供应商，可自行选择线上或现场的方式获取。本项目磋商文件有偿获取，磋商文件售价：人民币</w:t>
      </w:r>
      <w:r>
        <w:rPr>
          <w:rFonts w:hint="eastAsia" w:ascii="仿宋" w:hAnsi="仿宋" w:eastAsia="仿宋"/>
          <w:sz w:val="24"/>
          <w:highlight w:val="none"/>
          <w:lang w:val="en-US" w:eastAsia="zh-CN"/>
        </w:rPr>
        <w:t>300</w:t>
      </w:r>
      <w:r>
        <w:rPr>
          <w:rFonts w:hint="eastAsia" w:ascii="仿宋" w:hAnsi="仿宋" w:eastAsia="仿宋"/>
          <w:sz w:val="24"/>
          <w:highlight w:val="none"/>
        </w:rPr>
        <w:t>元/份（磋商文件售后不退,磋商资格不能转让）。</w:t>
      </w:r>
    </w:p>
    <w:p w14:paraId="1A4B62AA">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现场获取：经办人员当场提交以下资料：单位介绍信并加盖公章；经办人身份证复印件并加盖公章。</w:t>
      </w:r>
    </w:p>
    <w:p w14:paraId="2893D65B">
      <w:pPr>
        <w:pStyle w:val="2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网络获取：供应商按照报名介绍信（下载地址：https://pan.baidu.com/s/1bvKRQJJ10McV-VZpTZuwxQ?pwd=htgc）格式要求填写并发送至邮箱：htgczx@qq.com,待采购代理机构审核通过后获取采购文件。</w:t>
      </w:r>
    </w:p>
    <w:p w14:paraId="2DC0C0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八</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eastAsia="zh-CN"/>
        </w:rPr>
        <w:t>提交</w:t>
      </w:r>
      <w:r>
        <w:rPr>
          <w:rFonts w:hint="eastAsia" w:ascii="Times New Roman" w:hAnsi="Times New Roman" w:eastAsia="仿宋" w:cs="Times New Roman"/>
          <w:b/>
          <w:sz w:val="24"/>
          <w:szCs w:val="24"/>
          <w:highlight w:val="none"/>
          <w:lang w:val="en-US" w:eastAsia="zh-CN"/>
        </w:rPr>
        <w:t>首次</w:t>
      </w:r>
      <w:r>
        <w:rPr>
          <w:rFonts w:hint="eastAsia" w:ascii="Times New Roman" w:hAnsi="Times New Roman" w:eastAsia="仿宋" w:cs="Times New Roman"/>
          <w:b/>
          <w:sz w:val="24"/>
          <w:szCs w:val="24"/>
          <w:highlight w:val="none"/>
        </w:rPr>
        <w:t>响应文件截止时间</w:t>
      </w: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rPr>
        <w:t>参加</w:t>
      </w:r>
      <w:r>
        <w:rPr>
          <w:rFonts w:hint="eastAsia" w:ascii="Times New Roman" w:hAnsi="Times New Roman" w:eastAsia="仿宋" w:cs="Times New Roman"/>
          <w:b/>
          <w:sz w:val="24"/>
          <w:szCs w:val="24"/>
          <w:highlight w:val="none"/>
          <w:lang w:eastAsia="zh-CN"/>
        </w:rPr>
        <w:t>磋商</w:t>
      </w:r>
      <w:r>
        <w:rPr>
          <w:rFonts w:hint="eastAsia" w:ascii="Times New Roman" w:hAnsi="Times New Roman" w:eastAsia="仿宋" w:cs="Times New Roman"/>
          <w:b/>
          <w:sz w:val="24"/>
          <w:szCs w:val="24"/>
          <w:highlight w:val="none"/>
        </w:rPr>
        <w:t>的时间</w:t>
      </w:r>
      <w:r>
        <w:rPr>
          <w:rFonts w:hint="eastAsia" w:ascii="Times New Roman" w:hAnsi="Times New Roman" w:eastAsia="仿宋" w:cs="Times New Roman"/>
          <w:b/>
          <w:sz w:val="24"/>
          <w:szCs w:val="24"/>
          <w:highlight w:val="none"/>
          <w:lang w:eastAsia="zh-CN"/>
        </w:rPr>
        <w:t>）</w:t>
      </w:r>
    </w:p>
    <w:p w14:paraId="25152E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2025年04月08日</w:t>
      </w:r>
      <w:bookmarkStart w:id="91" w:name="_GoBack"/>
      <w:bookmarkEnd w:id="91"/>
      <w:r>
        <w:rPr>
          <w:rFonts w:hint="eastAsia" w:ascii="Times New Roman" w:hAnsi="Times New Roman" w:eastAsia="仿宋" w:cs="Times New Roman"/>
          <w:sz w:val="24"/>
          <w:szCs w:val="24"/>
          <w:highlight w:val="none"/>
          <w:lang w:val="en-US" w:eastAsia="zh-CN"/>
        </w:rPr>
        <w:t>10</w:t>
      </w:r>
      <w:r>
        <w:rPr>
          <w:rFonts w:ascii="Times New Roman" w:hAnsi="Times New Roman" w:eastAsia="仿宋" w:cs="Times New Roman"/>
          <w:sz w:val="24"/>
          <w:szCs w:val="24"/>
          <w:highlight w:val="none"/>
        </w:rPr>
        <w:t>时</w:t>
      </w:r>
      <w:r>
        <w:rPr>
          <w:rFonts w:hint="eastAsia" w:ascii="Times New Roman" w:hAnsi="Times New Roman" w:eastAsia="仿宋" w:cs="Times New Roman"/>
          <w:sz w:val="24"/>
          <w:szCs w:val="24"/>
          <w:highlight w:val="none"/>
          <w:lang w:val="en-US" w:eastAsia="zh-CN"/>
        </w:rPr>
        <w:t>00</w:t>
      </w:r>
      <w:r>
        <w:rPr>
          <w:rFonts w:ascii="Times New Roman" w:hAnsi="Times New Roman" w:eastAsia="仿宋" w:cs="Times New Roman"/>
          <w:sz w:val="24"/>
          <w:szCs w:val="24"/>
          <w:highlight w:val="none"/>
        </w:rPr>
        <w:t>分（北京时间）</w:t>
      </w:r>
    </w:p>
    <w:p w14:paraId="6FA4802A">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kern w:val="2"/>
          <w:sz w:val="24"/>
          <w:szCs w:val="24"/>
          <w:highlight w:val="none"/>
          <w:lang w:val="en-US" w:eastAsia="zh-CN" w:bidi="ar-SA"/>
        </w:rPr>
      </w:pPr>
      <w:bookmarkStart w:id="6" w:name="PO_默认文件内容_7"/>
      <w:r>
        <w:rPr>
          <w:rFonts w:hint="eastAsia" w:ascii="Times New Roman" w:hAnsi="Times New Roman" w:eastAsia="仿宋" w:cs="Times New Roman"/>
          <w:kern w:val="2"/>
          <w:sz w:val="24"/>
          <w:szCs w:val="24"/>
          <w:highlight w:val="none"/>
          <w:lang w:val="en-US" w:eastAsia="zh-CN" w:bidi="ar-SA"/>
        </w:rPr>
        <w:t>1.首次响应文件应在提交首次响应文件截止时间前送达磋商地点；</w:t>
      </w:r>
    </w:p>
    <w:p w14:paraId="03E64D80">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2.逾期送达或没有密封的首次响应文件恕不接收。</w:t>
      </w:r>
    </w:p>
    <w:p w14:paraId="3AC646B6">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eastAsia="zh-CN"/>
        </w:rPr>
        <w:t>九</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eastAsia="zh-CN"/>
        </w:rPr>
        <w:t>提交首次</w:t>
      </w:r>
      <w:r>
        <w:rPr>
          <w:rFonts w:hint="eastAsia" w:ascii="Times New Roman" w:hAnsi="Times New Roman" w:eastAsia="仿宋" w:cs="Times New Roman"/>
          <w:b/>
          <w:sz w:val="24"/>
          <w:szCs w:val="24"/>
          <w:highlight w:val="none"/>
        </w:rPr>
        <w:t>响应文件</w:t>
      </w:r>
      <w:r>
        <w:rPr>
          <w:rFonts w:hint="eastAsia" w:ascii="Times New Roman" w:hAnsi="Times New Roman" w:eastAsia="仿宋" w:cs="Times New Roman"/>
          <w:b/>
          <w:sz w:val="24"/>
          <w:szCs w:val="24"/>
          <w:highlight w:val="none"/>
          <w:lang w:val="en-US" w:eastAsia="zh-CN"/>
        </w:rPr>
        <w:t>地点和磋商地点</w:t>
      </w:r>
    </w:p>
    <w:bookmarkEnd w:id="6"/>
    <w:p w14:paraId="5EBD13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u w:val="none"/>
          <w:lang w:val="en-US" w:eastAsia="zh-CN"/>
        </w:rPr>
      </w:pPr>
      <w:r>
        <w:rPr>
          <w:rFonts w:hint="eastAsia" w:ascii="Times New Roman" w:hAnsi="Times New Roman" w:eastAsia="仿宋" w:cs="Times New Roman"/>
          <w:sz w:val="24"/>
          <w:szCs w:val="24"/>
          <w:highlight w:val="none"/>
          <w:u w:val="none"/>
          <w:lang w:val="en-US" w:eastAsia="zh-CN"/>
        </w:rPr>
        <w:t>成都市武侯区武侯大道顺江段77号汇点广场（吾悦广场）2座709号</w:t>
      </w:r>
    </w:p>
    <w:p w14:paraId="67489F1B">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十、联系方式</w:t>
      </w:r>
    </w:p>
    <w:p w14:paraId="0B7AEB1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lang w:val="en-US" w:eastAsia="zh-CN"/>
        </w:rPr>
        <w:t xml:space="preserve">采购人：成都市技师学院（成都工贸职业技术学院） </w:t>
      </w:r>
    </w:p>
    <w:p w14:paraId="68BC6F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地址</w:t>
      </w:r>
      <w:r>
        <w:rPr>
          <w:rFonts w:hint="eastAsia" w:ascii="Times New Roman" w:hAnsi="Times New Roman" w:eastAsia="仿宋" w:cs="Times New Roman"/>
          <w:sz w:val="24"/>
          <w:szCs w:val="24"/>
          <w:highlight w:val="none"/>
        </w:rPr>
        <w:t>：</w:t>
      </w:r>
      <w:r>
        <w:rPr>
          <w:rFonts w:hint="eastAsia" w:ascii="仿宋" w:hAnsi="仿宋" w:eastAsia="仿宋"/>
          <w:bCs/>
          <w:sz w:val="24"/>
          <w:highlight w:val="none"/>
          <w:lang w:eastAsia="zh-CN"/>
        </w:rPr>
        <w:t>成都市郫都区红光街道港通北三路1899号</w:t>
      </w:r>
    </w:p>
    <w:p w14:paraId="2DB2A4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val="0"/>
          <w:sz w:val="24"/>
          <w:szCs w:val="24"/>
          <w:highlight w:val="none"/>
        </w:rPr>
        <w:t>联系人</w:t>
      </w:r>
      <w:r>
        <w:rPr>
          <w:rFonts w:hint="eastAsia" w:ascii="Times New Roman" w:hAnsi="Times New Roman" w:eastAsia="仿宋" w:cs="Times New Roman"/>
          <w:sz w:val="24"/>
          <w:szCs w:val="24"/>
          <w:highlight w:val="none"/>
        </w:rPr>
        <w:t>：</w:t>
      </w:r>
      <w:r>
        <w:rPr>
          <w:rFonts w:hint="eastAsia" w:ascii="仿宋" w:hAnsi="仿宋" w:eastAsia="仿宋"/>
          <w:sz w:val="24"/>
          <w:highlight w:val="none"/>
          <w:lang w:eastAsia="zh-CN"/>
        </w:rPr>
        <w:t>王老师</w:t>
      </w:r>
    </w:p>
    <w:p w14:paraId="1D8255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val="0"/>
          <w:sz w:val="24"/>
          <w:szCs w:val="24"/>
          <w:highlight w:val="none"/>
        </w:rPr>
        <w:t>联系电话</w:t>
      </w:r>
      <w:r>
        <w:rPr>
          <w:rFonts w:hint="eastAsia" w:ascii="Times New Roman" w:hAnsi="Times New Roman" w:eastAsia="仿宋" w:cs="Times New Roman"/>
          <w:sz w:val="24"/>
          <w:szCs w:val="24"/>
          <w:highlight w:val="none"/>
        </w:rPr>
        <w:t>：</w:t>
      </w:r>
      <w:r>
        <w:rPr>
          <w:rFonts w:hint="eastAsia" w:ascii="仿宋" w:hAnsi="仿宋" w:eastAsia="仿宋"/>
          <w:sz w:val="24"/>
          <w:highlight w:val="none"/>
          <w:lang w:eastAsia="zh-CN"/>
        </w:rPr>
        <w:t>028-64907283</w:t>
      </w:r>
    </w:p>
    <w:p w14:paraId="11FF9E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rPr>
        <w:t>采购代理机构：</w:t>
      </w:r>
      <w:r>
        <w:rPr>
          <w:rFonts w:hint="eastAsia" w:ascii="Times New Roman" w:hAnsi="Times New Roman" w:eastAsia="仿宋" w:cs="Times New Roman"/>
          <w:b/>
          <w:bCs/>
          <w:sz w:val="24"/>
          <w:szCs w:val="24"/>
          <w:highlight w:val="none"/>
          <w:lang w:val="en-US" w:eastAsia="zh-CN"/>
        </w:rPr>
        <w:t>恒泰工程咨询集团有限公司</w:t>
      </w:r>
    </w:p>
    <w:p w14:paraId="6F56B6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rPr>
        <w:t>地址：</w:t>
      </w:r>
      <w:r>
        <w:rPr>
          <w:rFonts w:hint="eastAsia" w:ascii="Times New Roman" w:hAnsi="Times New Roman" w:eastAsia="仿宋" w:cs="Times New Roman"/>
          <w:sz w:val="24"/>
          <w:szCs w:val="24"/>
          <w:highlight w:val="none"/>
          <w:lang w:val="en-US" w:eastAsia="zh-CN"/>
        </w:rPr>
        <w:t>成都市武侯区武侯大道顺江段77号汇点广场（吾悦广场）2座709号</w:t>
      </w:r>
    </w:p>
    <w:p w14:paraId="4525BD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val="0"/>
          <w:sz w:val="24"/>
          <w:szCs w:val="24"/>
          <w:highlight w:val="none"/>
        </w:rPr>
        <w:t>联系人</w:t>
      </w:r>
      <w:r>
        <w:rPr>
          <w:rFonts w:hint="eastAsia" w:ascii="Times New Roman" w:hAnsi="Times New Roman" w:eastAsia="仿宋" w:cs="Times New Roman"/>
          <w:sz w:val="24"/>
          <w:szCs w:val="24"/>
          <w:highlight w:val="none"/>
        </w:rPr>
        <w:t>：</w:t>
      </w:r>
      <w:r>
        <w:rPr>
          <w:rFonts w:hint="eastAsia" w:ascii="仿宋" w:hAnsi="仿宋" w:eastAsia="仿宋"/>
          <w:sz w:val="24"/>
          <w:highlight w:val="none"/>
          <w:lang w:val="en-US" w:eastAsia="zh-CN"/>
        </w:rPr>
        <w:t>王女士</w:t>
      </w:r>
    </w:p>
    <w:p w14:paraId="07E2A8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8"/>
          <w:szCs w:val="28"/>
          <w:highlight w:val="none"/>
        </w:rPr>
      </w:pPr>
      <w:r>
        <w:rPr>
          <w:rFonts w:hint="eastAsia" w:ascii="Times New Roman" w:hAnsi="Times New Roman" w:eastAsia="仿宋" w:cs="Times New Roman"/>
          <w:b w:val="0"/>
          <w:bCs w:val="0"/>
          <w:sz w:val="24"/>
          <w:szCs w:val="24"/>
          <w:highlight w:val="none"/>
        </w:rPr>
        <w:t>联系电话</w:t>
      </w:r>
      <w:r>
        <w:rPr>
          <w:rFonts w:hint="eastAsia" w:ascii="Times New Roman" w:hAnsi="Times New Roman" w:eastAsia="仿宋" w:cs="Times New Roman"/>
          <w:sz w:val="24"/>
          <w:szCs w:val="24"/>
          <w:highlight w:val="none"/>
        </w:rPr>
        <w:t>：</w:t>
      </w:r>
      <w:r>
        <w:rPr>
          <w:rFonts w:hint="eastAsia" w:ascii="仿宋" w:hAnsi="仿宋" w:eastAsia="仿宋"/>
          <w:sz w:val="24"/>
          <w:highlight w:val="none"/>
          <w:lang w:val="en-US" w:eastAsia="zh-CN"/>
        </w:rPr>
        <w:t>19950260831</w:t>
      </w:r>
    </w:p>
    <w:p w14:paraId="5054A35B">
      <w:pPr>
        <w:rPr>
          <w:rFonts w:hint="eastAsia" w:ascii="仿宋" w:hAnsi="仿宋" w:eastAsia="仿宋" w:cs="仿宋"/>
          <w:b/>
          <w:bCs w:val="0"/>
          <w:sz w:val="36"/>
          <w:szCs w:val="32"/>
          <w:highlight w:val="none"/>
          <w:lang w:eastAsia="zh-CN"/>
        </w:rPr>
      </w:pPr>
      <w:bookmarkStart w:id="7" w:name="_Toc23677"/>
      <w:bookmarkStart w:id="8" w:name="_Toc27543"/>
      <w:r>
        <w:rPr>
          <w:rFonts w:hint="eastAsia" w:ascii="仿宋" w:hAnsi="仿宋" w:eastAsia="仿宋" w:cs="仿宋"/>
          <w:b/>
          <w:bCs w:val="0"/>
          <w:sz w:val="36"/>
          <w:szCs w:val="32"/>
          <w:highlight w:val="none"/>
          <w:lang w:eastAsia="zh-CN"/>
        </w:rPr>
        <w:br w:type="page"/>
      </w:r>
    </w:p>
    <w:p w14:paraId="4B7AFECF">
      <w:pPr>
        <w:widowControl/>
        <w:spacing w:line="520" w:lineRule="exact"/>
        <w:jc w:val="center"/>
        <w:outlineLvl w:val="0"/>
        <w:rPr>
          <w:highlight w:val="none"/>
        </w:rPr>
      </w:pPr>
      <w:r>
        <w:rPr>
          <w:rFonts w:hint="eastAsia" w:ascii="仿宋" w:hAnsi="仿宋" w:eastAsia="仿宋" w:cs="仿宋"/>
          <w:b/>
          <w:bCs w:val="0"/>
          <w:sz w:val="36"/>
          <w:szCs w:val="32"/>
          <w:highlight w:val="none"/>
          <w:lang w:eastAsia="zh-CN"/>
        </w:rPr>
        <w:t>第二章</w:t>
      </w:r>
      <w:r>
        <w:rPr>
          <w:rFonts w:hint="eastAsia" w:ascii="仿宋" w:hAnsi="仿宋" w:eastAsia="仿宋" w:cs="仿宋"/>
          <w:b/>
          <w:bCs w:val="0"/>
          <w:sz w:val="36"/>
          <w:szCs w:val="32"/>
          <w:highlight w:val="none"/>
          <w:lang w:val="en-US" w:eastAsia="zh-CN"/>
        </w:rPr>
        <w:t xml:space="preserve"> </w:t>
      </w:r>
      <w:r>
        <w:rPr>
          <w:rFonts w:hint="eastAsia" w:ascii="仿宋" w:hAnsi="仿宋" w:eastAsia="仿宋" w:cs="仿宋"/>
          <w:b/>
          <w:bCs w:val="0"/>
          <w:sz w:val="36"/>
          <w:szCs w:val="32"/>
          <w:highlight w:val="none"/>
          <w:lang w:eastAsia="zh-CN"/>
        </w:rPr>
        <w:t>磋商须知</w:t>
      </w:r>
      <w:bookmarkEnd w:id="7"/>
      <w:bookmarkEnd w:id="8"/>
    </w:p>
    <w:p w14:paraId="61DA5DC1">
      <w:pPr>
        <w:spacing w:line="500" w:lineRule="exact"/>
        <w:ind w:firstLine="562" w:firstLineChars="200"/>
        <w:jc w:val="center"/>
        <w:outlineLvl w:val="1"/>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lang w:eastAsia="zh-CN"/>
        </w:rPr>
        <w:t>一、供应商</w:t>
      </w:r>
      <w:r>
        <w:rPr>
          <w:rFonts w:ascii="Times New Roman" w:hAnsi="Times New Roman" w:eastAsia="仿宋" w:cs="Times New Roman"/>
          <w:b/>
          <w:sz w:val="28"/>
          <w:szCs w:val="28"/>
          <w:highlight w:val="none"/>
        </w:rPr>
        <w:t>须知附表</w:t>
      </w:r>
    </w:p>
    <w:tbl>
      <w:tblPr>
        <w:tblStyle w:val="25"/>
        <w:tblW w:w="893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661"/>
        <w:gridCol w:w="6746"/>
      </w:tblGrid>
      <w:tr w14:paraId="085874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tcBorders>
              <w:top w:val="single" w:color="auto" w:sz="18" w:space="0"/>
            </w:tcBorders>
            <w:vAlign w:val="center"/>
          </w:tcPr>
          <w:p w14:paraId="74154D09">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序号</w:t>
            </w:r>
          </w:p>
        </w:tc>
        <w:tc>
          <w:tcPr>
            <w:tcW w:w="1661" w:type="dxa"/>
            <w:tcBorders>
              <w:top w:val="single" w:color="auto" w:sz="18" w:space="0"/>
            </w:tcBorders>
            <w:vAlign w:val="center"/>
          </w:tcPr>
          <w:p w14:paraId="192548E7">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应知事项</w:t>
            </w:r>
          </w:p>
        </w:tc>
        <w:tc>
          <w:tcPr>
            <w:tcW w:w="6746" w:type="dxa"/>
            <w:tcBorders>
              <w:top w:val="single" w:color="auto" w:sz="18" w:space="0"/>
            </w:tcBorders>
            <w:vAlign w:val="center"/>
          </w:tcPr>
          <w:p w14:paraId="30C0E45F">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说明和要求</w:t>
            </w:r>
          </w:p>
        </w:tc>
      </w:tr>
      <w:tr w14:paraId="1DC150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14:paraId="39886C96">
            <w:pPr>
              <w:pStyle w:val="35"/>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3A715434">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采购预算</w:t>
            </w:r>
          </w:p>
          <w:p w14:paraId="548DC216">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bCs/>
                <w:kern w:val="0"/>
                <w:sz w:val="22"/>
                <w:szCs w:val="22"/>
                <w:highlight w:val="none"/>
                <w:lang w:val="zh-CN" w:eastAsia="zh-CN" w:bidi="ar-SA"/>
              </w:rPr>
              <w:t>（实质性要求）</w:t>
            </w:r>
          </w:p>
        </w:tc>
        <w:tc>
          <w:tcPr>
            <w:tcW w:w="6746" w:type="dxa"/>
            <w:vAlign w:val="center"/>
          </w:tcPr>
          <w:p w14:paraId="44B42C20">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人民币：18万元</w:t>
            </w:r>
          </w:p>
          <w:p w14:paraId="77AA93AF">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sz w:val="22"/>
                <w:szCs w:val="22"/>
                <w:highlight w:val="none"/>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超过采购预算的报价，其响应文件作无效处理</w:t>
            </w:r>
          </w:p>
        </w:tc>
      </w:tr>
      <w:tr w14:paraId="1FD955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14:paraId="0763EF6B">
            <w:pPr>
              <w:pStyle w:val="35"/>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1CC4D482">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最高限价</w:t>
            </w:r>
          </w:p>
          <w:p w14:paraId="6F53A8D3">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bCs/>
                <w:kern w:val="0"/>
                <w:sz w:val="22"/>
                <w:szCs w:val="22"/>
                <w:highlight w:val="none"/>
                <w:lang w:val="zh-CN" w:eastAsia="zh-CN" w:bidi="ar-SA"/>
              </w:rPr>
              <w:t>（实质性要求）</w:t>
            </w:r>
          </w:p>
        </w:tc>
        <w:tc>
          <w:tcPr>
            <w:tcW w:w="6746" w:type="dxa"/>
            <w:vAlign w:val="center"/>
          </w:tcPr>
          <w:p w14:paraId="2E365F51">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人民币：18万元</w:t>
            </w:r>
          </w:p>
          <w:p w14:paraId="48B67A00">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超过最高限价</w:t>
            </w:r>
            <w:r>
              <w:rPr>
                <w:rFonts w:hint="eastAsia" w:ascii="仿宋" w:hAnsi="仿宋" w:eastAsia="仿宋" w:cs="仿宋"/>
                <w:color w:val="000000" w:themeColor="text1"/>
                <w:sz w:val="22"/>
                <w:szCs w:val="22"/>
                <w:highlight w:val="none"/>
                <w:lang w:eastAsia="zh-CN"/>
                <w14:textFill>
                  <w14:solidFill>
                    <w14:schemeClr w14:val="tx1"/>
                  </w14:solidFill>
                </w14:textFill>
              </w:rPr>
              <w:t>的报价</w:t>
            </w:r>
            <w:r>
              <w:rPr>
                <w:rFonts w:hint="eastAsia" w:ascii="仿宋" w:hAnsi="仿宋" w:eastAsia="仿宋" w:cs="仿宋"/>
                <w:color w:val="000000" w:themeColor="text1"/>
                <w:sz w:val="22"/>
                <w:szCs w:val="22"/>
                <w:highlight w:val="none"/>
                <w14:textFill>
                  <w14:solidFill>
                    <w14:schemeClr w14:val="tx1"/>
                  </w14:solidFill>
                </w14:textFill>
              </w:rPr>
              <w:t>，其</w:t>
            </w:r>
            <w:r>
              <w:rPr>
                <w:rFonts w:hint="eastAsia" w:ascii="仿宋" w:hAnsi="仿宋" w:eastAsia="仿宋" w:cs="仿宋"/>
                <w:color w:val="000000" w:themeColor="text1"/>
                <w:sz w:val="22"/>
                <w:szCs w:val="22"/>
                <w:highlight w:val="none"/>
                <w:lang w:eastAsia="zh-CN"/>
                <w14:textFill>
                  <w14:solidFill>
                    <w14:schemeClr w14:val="tx1"/>
                  </w14:solidFill>
                </w14:textFill>
              </w:rPr>
              <w:t>响应</w:t>
            </w:r>
            <w:r>
              <w:rPr>
                <w:rFonts w:hint="eastAsia" w:ascii="仿宋" w:hAnsi="仿宋" w:eastAsia="仿宋" w:cs="仿宋"/>
                <w:color w:val="000000" w:themeColor="text1"/>
                <w:sz w:val="22"/>
                <w:szCs w:val="22"/>
                <w:highlight w:val="none"/>
                <w14:textFill>
                  <w14:solidFill>
                    <w14:schemeClr w14:val="tx1"/>
                  </w14:solidFill>
                </w14:textFill>
              </w:rPr>
              <w:t>文件</w:t>
            </w:r>
            <w:r>
              <w:rPr>
                <w:rFonts w:hint="eastAsia" w:ascii="仿宋" w:hAnsi="仿宋" w:eastAsia="仿宋" w:cs="仿宋"/>
                <w:color w:val="000000" w:themeColor="text1"/>
                <w:sz w:val="22"/>
                <w:szCs w:val="22"/>
                <w:highlight w:val="none"/>
                <w:lang w:val="en-US" w:eastAsia="zh-CN"/>
                <w14:textFill>
                  <w14:solidFill>
                    <w14:schemeClr w14:val="tx1"/>
                  </w14:solidFill>
                </w14:textFill>
              </w:rPr>
              <w:t>作</w:t>
            </w:r>
            <w:r>
              <w:rPr>
                <w:rFonts w:hint="eastAsia" w:ascii="仿宋" w:hAnsi="仿宋" w:eastAsia="仿宋" w:cs="仿宋"/>
                <w:color w:val="000000" w:themeColor="text1"/>
                <w:sz w:val="22"/>
                <w:szCs w:val="22"/>
                <w:highlight w:val="none"/>
                <w14:textFill>
                  <w14:solidFill>
                    <w14:schemeClr w14:val="tx1"/>
                  </w14:solidFill>
                </w14:textFill>
              </w:rPr>
              <w:t>无效处理</w:t>
            </w:r>
          </w:p>
        </w:tc>
      </w:tr>
      <w:tr w14:paraId="34ED26E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DBB5744">
            <w:pPr>
              <w:pStyle w:val="35"/>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756303E2">
            <w:pPr>
              <w:pStyle w:val="46"/>
              <w:keepNext w:val="0"/>
              <w:keepLines w:val="0"/>
              <w:pageBreakBefore w:val="0"/>
              <w:widowControl w:val="0"/>
              <w:kinsoku/>
              <w:wordWrap/>
              <w:overflowPunct/>
              <w:topLinePunct w:val="0"/>
              <w:bidi w:val="0"/>
              <w:snapToGrid/>
              <w:spacing w:line="360" w:lineRule="auto"/>
              <w:jc w:val="center"/>
              <w:textAlignment w:val="auto"/>
              <w:rPr>
                <w:rFonts w:ascii="Times New Roman" w:hAnsi="Times New Roman" w:eastAsia="仿宋" w:cs="Times New Roman"/>
                <w:b w:val="0"/>
                <w:bCs w:val="0"/>
                <w:kern w:val="0"/>
                <w:sz w:val="22"/>
                <w:szCs w:val="22"/>
                <w:highlight w:val="none"/>
                <w:lang w:val="zh-CN" w:eastAsia="zh-CN" w:bidi="ar-SA"/>
              </w:rPr>
            </w:pPr>
            <w:r>
              <w:rPr>
                <w:rFonts w:ascii="Times New Roman" w:hAnsi="Times New Roman" w:eastAsia="仿宋" w:cs="Times New Roman"/>
                <w:b w:val="0"/>
                <w:bCs w:val="0"/>
                <w:kern w:val="0"/>
                <w:sz w:val="22"/>
                <w:szCs w:val="22"/>
                <w:highlight w:val="none"/>
                <w:lang w:val="zh-CN" w:eastAsia="zh-CN" w:bidi="ar-SA"/>
              </w:rPr>
              <w:t>不正当竞争预防措施</w:t>
            </w:r>
          </w:p>
          <w:p w14:paraId="1D4DE2E3">
            <w:pPr>
              <w:pStyle w:val="46"/>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bCs/>
                <w:kern w:val="0"/>
                <w:sz w:val="22"/>
                <w:szCs w:val="22"/>
                <w:highlight w:val="none"/>
                <w:lang w:val="zh-CN" w:eastAsia="zh-CN" w:bidi="ar-SA"/>
              </w:rPr>
              <w:t>（实质性要求）</w:t>
            </w:r>
          </w:p>
        </w:tc>
        <w:tc>
          <w:tcPr>
            <w:tcW w:w="6746" w:type="dxa"/>
            <w:vAlign w:val="center"/>
          </w:tcPr>
          <w:p w14:paraId="302847C3">
            <w:pPr>
              <w:pStyle w:val="46"/>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theme="minorBidi"/>
                <w:b w:val="0"/>
                <w:bCs/>
                <w:color w:val="000000" w:themeColor="text1"/>
                <w:kern w:val="2"/>
                <w:sz w:val="22"/>
                <w:szCs w:val="22"/>
                <w:highlight w:val="none"/>
                <w:lang w:val="zh-CN" w:eastAsia="zh-CN" w:bidi="ar-SA"/>
                <w14:textFill>
                  <w14:solidFill>
                    <w14:schemeClr w14:val="tx1"/>
                  </w14:solidFill>
                </w14:textFill>
              </w:rPr>
              <w:t>磋商小组认为供应商的报价明显低于其他通过实质性响应审查供应商的报价，有可能影响产品质量或者不能诚信履约的，应当要求其在评审现场合理的时间内提供书面说明，并提交相关证明材料；磋商小组认为其证明材料不能证明其报价合理性，应当将其作为无效处理</w:t>
            </w:r>
          </w:p>
        </w:tc>
      </w:tr>
      <w:tr w14:paraId="78A4D5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A859373">
            <w:pPr>
              <w:pStyle w:val="35"/>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65E9AF93">
            <w:pPr>
              <w:pStyle w:val="46"/>
              <w:keepNext w:val="0"/>
              <w:keepLines w:val="0"/>
              <w:pageBreakBefore w:val="0"/>
              <w:widowControl w:val="0"/>
              <w:kinsoku/>
              <w:wordWrap/>
              <w:overflowPunct/>
              <w:topLinePunct w:val="0"/>
              <w:bidi w:val="0"/>
              <w:snapToGrid/>
              <w:spacing w:line="360" w:lineRule="auto"/>
              <w:jc w:val="center"/>
              <w:textAlignment w:val="auto"/>
              <w:rPr>
                <w:rFonts w:ascii="Times New Roman" w:hAnsi="Times New Roman" w:eastAsia="仿宋" w:cs="Times New Roman"/>
                <w:b w:val="0"/>
                <w:bCs w:val="0"/>
                <w:sz w:val="22"/>
                <w:szCs w:val="22"/>
                <w:highlight w:val="none"/>
                <w:lang w:val="zh-CN"/>
              </w:rPr>
            </w:pPr>
            <w:r>
              <w:rPr>
                <w:rFonts w:hint="eastAsia" w:ascii="Times New Roman" w:hAnsi="Times New Roman" w:eastAsia="仿宋" w:cs="Times New Roman"/>
                <w:b w:val="0"/>
                <w:bCs w:val="0"/>
                <w:sz w:val="22"/>
                <w:szCs w:val="22"/>
                <w:highlight w:val="none"/>
                <w:lang w:val="zh-CN"/>
              </w:rPr>
              <w:t>响应</w:t>
            </w:r>
            <w:r>
              <w:rPr>
                <w:rFonts w:hint="eastAsia" w:ascii="Times New Roman" w:hAnsi="Times New Roman" w:eastAsia="仿宋" w:cs="Times New Roman"/>
                <w:b w:val="0"/>
                <w:bCs w:val="0"/>
                <w:sz w:val="22"/>
                <w:szCs w:val="22"/>
                <w:highlight w:val="none"/>
                <w:lang w:val="en-US" w:eastAsia="zh-CN"/>
              </w:rPr>
              <w:t>文件</w:t>
            </w:r>
            <w:r>
              <w:rPr>
                <w:rFonts w:ascii="Times New Roman" w:hAnsi="Times New Roman" w:eastAsia="仿宋" w:cs="Times New Roman"/>
                <w:b w:val="0"/>
                <w:bCs w:val="0"/>
                <w:sz w:val="22"/>
                <w:szCs w:val="22"/>
                <w:highlight w:val="none"/>
                <w:lang w:val="zh-CN"/>
              </w:rPr>
              <w:t>有效期</w:t>
            </w:r>
          </w:p>
          <w:p w14:paraId="6F730A54">
            <w:pPr>
              <w:pStyle w:val="46"/>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bCs/>
                <w:sz w:val="22"/>
                <w:szCs w:val="22"/>
                <w:highlight w:val="none"/>
                <w:lang w:val="zh-CN" w:eastAsia="zh-CN"/>
              </w:rPr>
              <w:t>（实质性要求）</w:t>
            </w:r>
          </w:p>
        </w:tc>
        <w:tc>
          <w:tcPr>
            <w:tcW w:w="6746" w:type="dxa"/>
            <w:vAlign w:val="center"/>
          </w:tcPr>
          <w:p w14:paraId="7813C38A">
            <w:pPr>
              <w:pStyle w:val="46"/>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sz w:val="22"/>
                <w:szCs w:val="22"/>
                <w:highlight w:val="none"/>
                <w:lang w:val="zh-CN" w:eastAsia="zh-CN"/>
              </w:rPr>
            </w:pPr>
            <w:r>
              <w:rPr>
                <w:rFonts w:hint="eastAsia" w:ascii="Times New Roman" w:hAnsi="Times New Roman" w:eastAsia="仿宋" w:cs="Times New Roman"/>
                <w:sz w:val="22"/>
                <w:szCs w:val="22"/>
                <w:highlight w:val="none"/>
                <w:lang w:val="zh-CN" w:eastAsia="zh-CN"/>
              </w:rPr>
              <w:t>提交</w:t>
            </w:r>
            <w:r>
              <w:rPr>
                <w:rFonts w:hint="eastAsia" w:ascii="Times New Roman" w:hAnsi="Times New Roman" w:eastAsia="仿宋" w:cs="Times New Roman"/>
                <w:sz w:val="22"/>
                <w:szCs w:val="22"/>
                <w:highlight w:val="none"/>
                <w:lang w:val="en-US" w:eastAsia="zh-CN"/>
              </w:rPr>
              <w:t>首次</w:t>
            </w:r>
            <w:r>
              <w:rPr>
                <w:rFonts w:hint="eastAsia" w:ascii="Times New Roman" w:hAnsi="Times New Roman" w:eastAsia="仿宋" w:cs="Times New Roman"/>
                <w:sz w:val="22"/>
                <w:szCs w:val="22"/>
                <w:highlight w:val="none"/>
                <w:lang w:val="zh-CN" w:eastAsia="zh-CN"/>
              </w:rPr>
              <w:t>响应文件截止之日起90</w:t>
            </w:r>
            <w:r>
              <w:rPr>
                <w:rFonts w:hint="eastAsia" w:ascii="Times New Roman" w:hAnsi="Times New Roman" w:eastAsia="仿宋" w:cs="Times New Roman"/>
                <w:sz w:val="22"/>
                <w:szCs w:val="22"/>
                <w:highlight w:val="none"/>
                <w:lang w:val="en-US" w:eastAsia="zh-CN"/>
              </w:rPr>
              <w:t>日</w:t>
            </w:r>
          </w:p>
        </w:tc>
      </w:tr>
      <w:tr w14:paraId="6210F4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25E745A">
            <w:pPr>
              <w:pStyle w:val="35"/>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2A52AF1E">
            <w:pPr>
              <w:pStyle w:val="46"/>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val="0"/>
                <w:bCs w:val="0"/>
                <w:sz w:val="22"/>
                <w:szCs w:val="22"/>
                <w:highlight w:val="none"/>
                <w:lang w:val="zh-CN" w:eastAsia="zh-CN"/>
              </w:rPr>
              <w:t>合同分包</w:t>
            </w:r>
          </w:p>
          <w:p w14:paraId="409C2C6F">
            <w:pPr>
              <w:pStyle w:val="46"/>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bCs/>
                <w:sz w:val="22"/>
                <w:szCs w:val="22"/>
                <w:highlight w:val="none"/>
                <w:lang w:val="zh-CN" w:eastAsia="zh-CN"/>
              </w:rPr>
              <w:t>（实质性要求）</w:t>
            </w:r>
          </w:p>
        </w:tc>
        <w:tc>
          <w:tcPr>
            <w:tcW w:w="6746" w:type="dxa"/>
            <w:vAlign w:val="center"/>
          </w:tcPr>
          <w:p w14:paraId="67FCE253">
            <w:pPr>
              <w:pStyle w:val="46"/>
              <w:keepNext w:val="0"/>
              <w:keepLines w:val="0"/>
              <w:pageBreakBefore w:val="0"/>
              <w:widowControl w:val="0"/>
              <w:kinsoku/>
              <w:wordWrap/>
              <w:overflowPunct/>
              <w:topLinePunct w:val="0"/>
              <w:bidi w:val="0"/>
              <w:snapToGrid/>
              <w:spacing w:line="360" w:lineRule="auto"/>
              <w:ind w:left="210" w:leftChars="100"/>
              <w:jc w:val="both"/>
              <w:textAlignment w:val="auto"/>
              <w:rPr>
                <w:rFonts w:hint="default" w:ascii="Times New Roman" w:hAnsi="Times New Roman" w:eastAsia="仿宋" w:cs="Times New Roman"/>
                <w:color w:val="FF0000"/>
                <w:sz w:val="22"/>
                <w:szCs w:val="22"/>
                <w:highlight w:val="none"/>
                <w:lang w:val="en-US"/>
              </w:rPr>
            </w:pPr>
            <w:r>
              <w:rPr>
                <w:rFonts w:hint="eastAsia" w:ascii="Times New Roman" w:hAnsi="Times New Roman" w:eastAsia="仿宋" w:cs="Times New Roman"/>
                <w:sz w:val="22"/>
                <w:szCs w:val="22"/>
                <w:highlight w:val="none"/>
                <w:lang w:val="en-US" w:eastAsia="zh-CN"/>
              </w:rPr>
              <w:t>不接受</w:t>
            </w:r>
          </w:p>
        </w:tc>
      </w:tr>
      <w:tr w14:paraId="6222166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7BDFD34">
            <w:pPr>
              <w:pStyle w:val="35"/>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036019EA">
            <w:pPr>
              <w:pStyle w:val="46"/>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val="0"/>
                <w:bCs w:val="0"/>
                <w:sz w:val="22"/>
                <w:szCs w:val="22"/>
                <w:highlight w:val="none"/>
                <w:lang w:val="zh-CN" w:eastAsia="zh-CN"/>
              </w:rPr>
              <w:t>联合体</w:t>
            </w:r>
          </w:p>
          <w:p w14:paraId="6C645D67">
            <w:pPr>
              <w:pStyle w:val="46"/>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bCs/>
                <w:sz w:val="22"/>
                <w:szCs w:val="22"/>
                <w:highlight w:val="none"/>
                <w:lang w:val="zh-CN" w:eastAsia="zh-CN"/>
              </w:rPr>
              <w:t>（实质性要求）</w:t>
            </w:r>
          </w:p>
        </w:tc>
        <w:tc>
          <w:tcPr>
            <w:tcW w:w="6746" w:type="dxa"/>
            <w:vAlign w:val="center"/>
          </w:tcPr>
          <w:p w14:paraId="15A0C31E">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sz w:val="22"/>
                <w:szCs w:val="22"/>
                <w:highlight w:val="none"/>
                <w:lang w:val="zh-CN" w:eastAsia="zh-CN"/>
              </w:rPr>
            </w:pPr>
            <w:r>
              <w:rPr>
                <w:rFonts w:hint="eastAsia" w:ascii="仿宋" w:hAnsi="仿宋" w:eastAsia="仿宋" w:cs="仿宋"/>
                <w:color w:val="000000" w:themeColor="text1"/>
                <w:sz w:val="22"/>
                <w:szCs w:val="22"/>
                <w:highlight w:val="none"/>
                <w14:textFill>
                  <w14:solidFill>
                    <w14:schemeClr w14:val="tx1"/>
                  </w14:solidFill>
                </w14:textFill>
              </w:rPr>
              <w:t>不接受</w:t>
            </w:r>
          </w:p>
        </w:tc>
      </w:tr>
      <w:tr w14:paraId="2B25F8D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6" w:hRule="atLeast"/>
          <w:jc w:val="center"/>
        </w:trPr>
        <w:tc>
          <w:tcPr>
            <w:tcW w:w="524" w:type="dxa"/>
            <w:vAlign w:val="center"/>
          </w:tcPr>
          <w:p w14:paraId="0B6E811B">
            <w:pPr>
              <w:pStyle w:val="35"/>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7F5FE313">
            <w:pPr>
              <w:pStyle w:val="46"/>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val="0"/>
                <w:bCs w:val="0"/>
                <w:sz w:val="22"/>
                <w:szCs w:val="22"/>
                <w:highlight w:val="none"/>
                <w:lang w:val="zh-CN" w:eastAsia="zh-CN"/>
              </w:rPr>
              <w:t>响应文件的份数</w:t>
            </w:r>
          </w:p>
        </w:tc>
        <w:tc>
          <w:tcPr>
            <w:tcW w:w="6746" w:type="dxa"/>
            <w:vAlign w:val="center"/>
          </w:tcPr>
          <w:p w14:paraId="25BBC366">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“资格性</w:t>
            </w:r>
            <w:r>
              <w:rPr>
                <w:rFonts w:hint="eastAsia" w:ascii="Times New Roman" w:hAnsi="Times New Roman" w:eastAsia="仿宋" w:cs="Times New Roman"/>
                <w:kern w:val="0"/>
                <w:sz w:val="22"/>
                <w:szCs w:val="22"/>
                <w:highlight w:val="none"/>
                <w:lang w:val="en-US" w:eastAsia="zh-CN" w:bidi="ar-SA"/>
              </w:rPr>
              <w:t>响应</w:t>
            </w:r>
            <w:r>
              <w:rPr>
                <w:rFonts w:hint="eastAsia" w:ascii="Times New Roman" w:hAnsi="Times New Roman" w:eastAsia="仿宋" w:cs="Times New Roman"/>
                <w:kern w:val="0"/>
                <w:sz w:val="22"/>
                <w:szCs w:val="22"/>
                <w:highlight w:val="none"/>
                <w:lang w:val="zh-CN" w:eastAsia="zh-CN" w:bidi="ar-SA"/>
              </w:rPr>
              <w:t>文件”正本1份、副本</w:t>
            </w:r>
            <w:r>
              <w:rPr>
                <w:rFonts w:hint="eastAsia" w:ascii="Times New Roman" w:hAnsi="Times New Roman" w:eastAsia="仿宋" w:cs="Times New Roman"/>
                <w:kern w:val="0"/>
                <w:sz w:val="22"/>
                <w:szCs w:val="22"/>
                <w:highlight w:val="none"/>
                <w:lang w:val="en-US" w:eastAsia="zh-CN" w:bidi="ar-SA"/>
              </w:rPr>
              <w:t>2</w:t>
            </w:r>
            <w:r>
              <w:rPr>
                <w:rFonts w:hint="eastAsia" w:ascii="Times New Roman" w:hAnsi="Times New Roman" w:eastAsia="仿宋" w:cs="Times New Roman"/>
                <w:kern w:val="0"/>
                <w:sz w:val="22"/>
                <w:szCs w:val="22"/>
                <w:highlight w:val="none"/>
                <w:lang w:val="zh-CN" w:eastAsia="zh-CN" w:bidi="ar-SA"/>
              </w:rPr>
              <w:t>份；</w:t>
            </w:r>
            <w:r>
              <w:rPr>
                <w:rFonts w:hint="eastAsia" w:ascii="Times New Roman" w:hAnsi="Times New Roman" w:eastAsia="仿宋" w:cs="Times New Roman"/>
                <w:b/>
                <w:bCs/>
                <w:kern w:val="0"/>
                <w:sz w:val="22"/>
                <w:szCs w:val="22"/>
                <w:highlight w:val="none"/>
                <w:lang w:val="zh-CN" w:eastAsia="zh-CN" w:bidi="ar-SA"/>
              </w:rPr>
              <w:t>（实质性要求）</w:t>
            </w:r>
          </w:p>
          <w:p w14:paraId="58D66793">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w:t>
            </w:r>
            <w:r>
              <w:rPr>
                <w:rFonts w:hint="eastAsia" w:ascii="Times New Roman" w:hAnsi="Times New Roman" w:eastAsia="仿宋" w:cs="Times New Roman"/>
                <w:kern w:val="0"/>
                <w:sz w:val="22"/>
                <w:szCs w:val="22"/>
                <w:highlight w:val="none"/>
                <w:lang w:val="en-US" w:eastAsia="zh-CN" w:bidi="ar-SA"/>
              </w:rPr>
              <w:t>其他响应</w:t>
            </w:r>
            <w:r>
              <w:rPr>
                <w:rFonts w:hint="eastAsia" w:ascii="Times New Roman" w:hAnsi="Times New Roman" w:eastAsia="仿宋" w:cs="Times New Roman"/>
                <w:kern w:val="0"/>
                <w:sz w:val="22"/>
                <w:szCs w:val="22"/>
                <w:highlight w:val="none"/>
                <w:lang w:val="zh-CN" w:eastAsia="zh-CN" w:bidi="ar-SA"/>
              </w:rPr>
              <w:t>文件”正本1份、副本</w:t>
            </w:r>
            <w:r>
              <w:rPr>
                <w:rFonts w:hint="eastAsia" w:ascii="Times New Roman" w:hAnsi="Times New Roman" w:eastAsia="仿宋" w:cs="Times New Roman"/>
                <w:kern w:val="0"/>
                <w:sz w:val="22"/>
                <w:szCs w:val="22"/>
                <w:highlight w:val="none"/>
                <w:lang w:val="en-US" w:eastAsia="zh-CN" w:bidi="ar-SA"/>
              </w:rPr>
              <w:t>2</w:t>
            </w:r>
            <w:r>
              <w:rPr>
                <w:rFonts w:hint="eastAsia" w:ascii="Times New Roman" w:hAnsi="Times New Roman" w:eastAsia="仿宋" w:cs="Times New Roman"/>
                <w:kern w:val="0"/>
                <w:sz w:val="22"/>
                <w:szCs w:val="22"/>
                <w:highlight w:val="none"/>
                <w:lang w:val="zh-CN" w:eastAsia="zh-CN" w:bidi="ar-SA"/>
              </w:rPr>
              <w:t>份；</w:t>
            </w:r>
            <w:r>
              <w:rPr>
                <w:rFonts w:hint="eastAsia" w:ascii="Times New Roman" w:hAnsi="Times New Roman" w:eastAsia="仿宋" w:cs="Times New Roman"/>
                <w:b/>
                <w:bCs/>
                <w:kern w:val="0"/>
                <w:sz w:val="22"/>
                <w:szCs w:val="22"/>
                <w:highlight w:val="none"/>
                <w:lang w:val="zh-CN" w:eastAsia="zh-CN" w:bidi="ar-SA"/>
              </w:rPr>
              <w:t>（实质性要求）</w:t>
            </w:r>
          </w:p>
          <w:p w14:paraId="7F3D62FD">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Times New Roman" w:hAnsi="Times New Roman" w:eastAsia="仿宋" w:cs="Times New Roman"/>
                <w:kern w:val="0"/>
                <w:sz w:val="22"/>
                <w:szCs w:val="22"/>
                <w:highlight w:val="none"/>
                <w:lang w:val="zh-CN" w:eastAsia="zh-CN" w:bidi="ar-SA"/>
              </w:rPr>
              <w:t>“电子档”1份（U盘），U盘中“加盖</w:t>
            </w:r>
            <w:r>
              <w:rPr>
                <w:rFonts w:hint="eastAsia" w:ascii="Times New Roman" w:hAnsi="Times New Roman" w:eastAsia="仿宋" w:cs="Times New Roman"/>
                <w:kern w:val="0"/>
                <w:sz w:val="22"/>
                <w:szCs w:val="22"/>
                <w:highlight w:val="none"/>
                <w:lang w:val="en-US" w:eastAsia="zh-CN" w:bidi="ar-SA"/>
              </w:rPr>
              <w:t>供应商</w:t>
            </w:r>
            <w:r>
              <w:rPr>
                <w:rFonts w:hint="eastAsia" w:ascii="Times New Roman" w:hAnsi="Times New Roman" w:eastAsia="仿宋" w:cs="Times New Roman"/>
                <w:kern w:val="0"/>
                <w:sz w:val="22"/>
                <w:szCs w:val="22"/>
                <w:highlight w:val="none"/>
                <w:lang w:val="zh-CN" w:eastAsia="zh-CN" w:bidi="ar-SA"/>
              </w:rPr>
              <w:t>公章的PDF版</w:t>
            </w:r>
            <w:r>
              <w:rPr>
                <w:rFonts w:hint="eastAsia" w:ascii="Times New Roman" w:hAnsi="Times New Roman" w:eastAsia="仿宋" w:cs="Times New Roman"/>
                <w:kern w:val="0"/>
                <w:sz w:val="22"/>
                <w:szCs w:val="22"/>
                <w:highlight w:val="none"/>
                <w:lang w:val="en-US" w:eastAsia="zh-CN" w:bidi="ar-SA"/>
              </w:rPr>
              <w:t>文件</w:t>
            </w:r>
            <w:r>
              <w:rPr>
                <w:rFonts w:hint="eastAsia" w:ascii="Times New Roman" w:hAnsi="Times New Roman" w:eastAsia="仿宋" w:cs="Times New Roman"/>
                <w:kern w:val="0"/>
                <w:sz w:val="22"/>
                <w:szCs w:val="22"/>
                <w:highlight w:val="none"/>
                <w:lang w:val="zh-CN" w:eastAsia="zh-CN" w:bidi="ar-SA"/>
              </w:rPr>
              <w:t>”</w:t>
            </w:r>
            <w:r>
              <w:rPr>
                <w:rFonts w:hint="eastAsia" w:ascii="Times New Roman" w:hAnsi="Times New Roman" w:eastAsia="仿宋" w:cs="Times New Roman"/>
                <w:b/>
                <w:bCs/>
                <w:kern w:val="0"/>
                <w:sz w:val="22"/>
                <w:szCs w:val="22"/>
                <w:highlight w:val="none"/>
                <w:lang w:val="zh-CN" w:eastAsia="zh-CN" w:bidi="ar-SA"/>
              </w:rPr>
              <w:t>（实质性要求）</w:t>
            </w:r>
          </w:p>
        </w:tc>
      </w:tr>
      <w:tr w14:paraId="0725A60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17914F0">
            <w:pPr>
              <w:pStyle w:val="35"/>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58F88346">
            <w:pPr>
              <w:pStyle w:val="46"/>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val="0"/>
                <w:bCs w:val="0"/>
                <w:sz w:val="22"/>
                <w:szCs w:val="22"/>
                <w:highlight w:val="none"/>
                <w:lang w:val="en-US" w:eastAsia="zh-CN"/>
              </w:rPr>
              <w:t>磋商保证金</w:t>
            </w:r>
          </w:p>
          <w:p w14:paraId="29D08F92">
            <w:pPr>
              <w:pStyle w:val="46"/>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bCs/>
                <w:sz w:val="22"/>
                <w:szCs w:val="22"/>
                <w:highlight w:val="none"/>
                <w:lang w:val="zh-CN" w:eastAsia="zh-CN"/>
              </w:rPr>
              <w:t>（实质性要求）</w:t>
            </w:r>
          </w:p>
        </w:tc>
        <w:tc>
          <w:tcPr>
            <w:tcW w:w="6746" w:type="dxa"/>
            <w:vAlign w:val="center"/>
          </w:tcPr>
          <w:p w14:paraId="2D95661A">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eastAsia" w:ascii="Times New Roman" w:hAnsi="Times New Roman" w:eastAsia="仿宋" w:cs="Times New Roman"/>
                <w:kern w:val="0"/>
                <w:sz w:val="22"/>
                <w:szCs w:val="22"/>
                <w:highlight w:val="none"/>
                <w:lang w:val="en-US" w:eastAsia="zh-CN" w:bidi="ar-SA"/>
              </w:rPr>
              <w:t>不收取</w:t>
            </w:r>
          </w:p>
        </w:tc>
      </w:tr>
      <w:tr w14:paraId="7239AE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82C4AC5">
            <w:pPr>
              <w:pStyle w:val="35"/>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414F2892">
            <w:pPr>
              <w:pStyle w:val="46"/>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val="0"/>
                <w:bCs w:val="0"/>
                <w:sz w:val="22"/>
                <w:szCs w:val="22"/>
                <w:highlight w:val="none"/>
                <w:lang w:val="zh-CN" w:eastAsia="zh-CN"/>
              </w:rPr>
              <w:t>履约保证金</w:t>
            </w:r>
          </w:p>
          <w:p w14:paraId="3B6D6BF2">
            <w:pPr>
              <w:pStyle w:val="46"/>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bCs/>
                <w:sz w:val="22"/>
                <w:szCs w:val="22"/>
                <w:highlight w:val="none"/>
                <w:lang w:val="zh-CN" w:eastAsia="zh-CN"/>
              </w:rPr>
              <w:t>（实质性要求）</w:t>
            </w:r>
          </w:p>
        </w:tc>
        <w:tc>
          <w:tcPr>
            <w:tcW w:w="6746" w:type="dxa"/>
            <w:vAlign w:val="center"/>
          </w:tcPr>
          <w:p w14:paraId="18FCBA8E">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default" w:ascii="Times New Roman" w:hAnsi="Times New Roman" w:eastAsia="仿宋" w:cs="Times New Roman"/>
                <w:kern w:val="0"/>
                <w:sz w:val="22"/>
                <w:szCs w:val="22"/>
                <w:highlight w:val="none"/>
                <w:lang w:val="en-US" w:eastAsia="zh-CN" w:bidi="ar-SA"/>
              </w:rPr>
              <w:t>（1）履约保证金为合同金额的5%，供应商应在成交通知书发出之日起合同签订前以银行转账形式向采购人提交履约保证金。</w:t>
            </w:r>
          </w:p>
          <w:p w14:paraId="4DDAEFB1">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default" w:ascii="Times New Roman" w:hAnsi="Times New Roman" w:eastAsia="仿宋" w:cs="Times New Roman"/>
                <w:kern w:val="0"/>
                <w:sz w:val="22"/>
                <w:szCs w:val="22"/>
                <w:highlight w:val="none"/>
                <w:lang w:val="en-US" w:eastAsia="zh-CN" w:bidi="ar-SA"/>
              </w:rPr>
              <w:t>（2）履行合同约定(含售后服务)完毕且验收合格后，10个日历天内无息退还供应商应退部分履约保证金。因采购人原因逾期退还的，应当以未退还金额为基数，按合同订立时1年期贷款市场报价利率标准向供应商支付相应违约金，但违约金最高不得超过未退还金额的百分之二十。若因供应商不及时或未提供“收到退还履约保证金的收据”、“履约保证金退还申请”的，则采购人不承担逾期退还违约责任。</w:t>
            </w:r>
          </w:p>
          <w:p w14:paraId="650D6499">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default" w:ascii="Times New Roman" w:hAnsi="Times New Roman" w:eastAsia="仿宋" w:cs="Times New Roman"/>
                <w:kern w:val="0"/>
                <w:sz w:val="22"/>
                <w:szCs w:val="22"/>
                <w:highlight w:val="none"/>
                <w:lang w:val="en-US" w:eastAsia="zh-CN" w:bidi="ar-SA"/>
              </w:rPr>
              <w:t>（3）履约保证金汇入的银行及账号：</w:t>
            </w:r>
          </w:p>
          <w:p w14:paraId="02E463C9">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default" w:ascii="Times New Roman" w:hAnsi="Times New Roman" w:eastAsia="仿宋" w:cs="Times New Roman"/>
                <w:kern w:val="0"/>
                <w:sz w:val="22"/>
                <w:szCs w:val="22"/>
                <w:highlight w:val="none"/>
                <w:lang w:val="en-US" w:eastAsia="zh-CN" w:bidi="ar-SA"/>
              </w:rPr>
              <w:t>收款账号：成都市技师学院</w:t>
            </w:r>
          </w:p>
          <w:p w14:paraId="5F60DEF4">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default" w:ascii="Times New Roman" w:hAnsi="Times New Roman" w:eastAsia="仿宋" w:cs="Times New Roman"/>
                <w:kern w:val="0"/>
                <w:sz w:val="22"/>
                <w:szCs w:val="22"/>
                <w:highlight w:val="none"/>
                <w:lang w:val="en-US" w:eastAsia="zh-CN" w:bidi="ar-SA"/>
              </w:rPr>
              <w:t>开户行：工行四川成都分行郫都红光支行</w:t>
            </w:r>
          </w:p>
          <w:p w14:paraId="2CD1BA49">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default" w:ascii="Times New Roman" w:hAnsi="Times New Roman" w:eastAsia="仿宋" w:cs="Times New Roman"/>
                <w:kern w:val="0"/>
                <w:sz w:val="22"/>
                <w:szCs w:val="22"/>
                <w:highlight w:val="none"/>
                <w:lang w:val="en-US" w:eastAsia="zh-CN" w:bidi="ar-SA"/>
              </w:rPr>
              <w:t>银行账号：4402054609100031151</w:t>
            </w:r>
          </w:p>
          <w:p w14:paraId="5ED48F30">
            <w:pPr>
              <w:keepNext w:val="0"/>
              <w:keepLines w:val="0"/>
              <w:pageBreakBefore w:val="0"/>
              <w:widowControl w:val="0"/>
              <w:kinsoku/>
              <w:wordWrap/>
              <w:overflowPunct/>
              <w:topLinePunct w:val="0"/>
              <w:bidi w:val="0"/>
              <w:snapToGrid/>
              <w:spacing w:line="360" w:lineRule="auto"/>
              <w:ind w:left="210" w:leftChars="100"/>
              <w:textAlignment w:val="auto"/>
              <w:rPr>
                <w:rFonts w:hint="default"/>
                <w:sz w:val="22"/>
                <w:szCs w:val="22"/>
                <w:highlight w:val="none"/>
                <w:lang w:val="en-US" w:eastAsia="zh-CN"/>
              </w:rPr>
            </w:pPr>
            <w:r>
              <w:rPr>
                <w:rFonts w:hint="default" w:ascii="Times New Roman" w:hAnsi="Times New Roman" w:eastAsia="仿宋" w:cs="Times New Roman"/>
                <w:kern w:val="0"/>
                <w:sz w:val="22"/>
                <w:szCs w:val="22"/>
                <w:highlight w:val="none"/>
                <w:lang w:val="en-US" w:eastAsia="zh-CN" w:bidi="ar-SA"/>
              </w:rPr>
              <w:t>（4）履约保证金不予退还情形:一是供应商未按合同要求履行的，其履约保证金全部扣除。二是供应商缴纳了履约保证金，但因自身原因被取消成交资格或在成交通知书发出之日起30日历天（含法定节假日）内供应商不按采购文件确定的事项与采购人签订合同的，其履约保证金不予退还。</w:t>
            </w:r>
          </w:p>
        </w:tc>
      </w:tr>
      <w:tr w14:paraId="54CB1E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C4763B2">
            <w:pPr>
              <w:pStyle w:val="35"/>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39730645">
            <w:pPr>
              <w:pStyle w:val="46"/>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val="0"/>
                <w:bCs w:val="0"/>
                <w:sz w:val="22"/>
                <w:szCs w:val="22"/>
                <w:highlight w:val="none"/>
                <w:lang w:val="zh-CN" w:eastAsia="zh-CN"/>
              </w:rPr>
              <w:t>现场踏勘和答疑</w:t>
            </w:r>
          </w:p>
        </w:tc>
        <w:tc>
          <w:tcPr>
            <w:tcW w:w="6746" w:type="dxa"/>
            <w:vAlign w:val="center"/>
          </w:tcPr>
          <w:p w14:paraId="75DE861E">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不举行</w:t>
            </w:r>
          </w:p>
        </w:tc>
      </w:tr>
      <w:tr w14:paraId="00F6525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FA45E4F">
            <w:pPr>
              <w:pStyle w:val="35"/>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7C344144">
            <w:pPr>
              <w:keepNext w:val="0"/>
              <w:keepLines w:val="0"/>
              <w:pageBreakBefore w:val="0"/>
              <w:widowControl w:val="0"/>
              <w:kinsoku/>
              <w:wordWrap/>
              <w:overflowPunct/>
              <w:topLinePunct w:val="0"/>
              <w:bidi w:val="0"/>
              <w:snapToGrid/>
              <w:spacing w:line="360" w:lineRule="auto"/>
              <w:ind w:left="105" w:leftChars="50" w:right="105" w:rightChars="50"/>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en-US" w:eastAsia="zh-CN" w:bidi="ar-SA"/>
              </w:rPr>
              <w:t>采购结果</w:t>
            </w:r>
            <w:r>
              <w:rPr>
                <w:rFonts w:hint="eastAsia" w:ascii="Times New Roman" w:hAnsi="Times New Roman" w:eastAsia="仿宋" w:cs="Times New Roman"/>
                <w:b w:val="0"/>
                <w:bCs w:val="0"/>
                <w:kern w:val="0"/>
                <w:sz w:val="22"/>
                <w:szCs w:val="22"/>
                <w:highlight w:val="none"/>
                <w:lang w:val="zh-CN" w:eastAsia="zh-CN" w:bidi="ar-SA"/>
              </w:rPr>
              <w:t>公告</w:t>
            </w:r>
          </w:p>
        </w:tc>
        <w:tc>
          <w:tcPr>
            <w:tcW w:w="6746" w:type="dxa"/>
            <w:vAlign w:val="center"/>
          </w:tcPr>
          <w:p w14:paraId="189FB95E">
            <w:pPr>
              <w:pStyle w:val="46"/>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Times New Roman" w:hAnsi="Times New Roman" w:eastAsia="仿宋" w:cs="Times New Roman"/>
                <w:kern w:val="0"/>
                <w:sz w:val="22"/>
                <w:szCs w:val="22"/>
                <w:highlight w:val="none"/>
                <w:lang w:val="zh-CN" w:eastAsia="zh-CN" w:bidi="ar-SA"/>
              </w:rPr>
              <w:t>公告内容：成交供应商名称和成交金额；</w:t>
            </w:r>
          </w:p>
        </w:tc>
      </w:tr>
      <w:tr w14:paraId="25F834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AC5EF54">
            <w:pPr>
              <w:pStyle w:val="35"/>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19B56C61">
            <w:pPr>
              <w:pStyle w:val="46"/>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en-US" w:eastAsia="zh-CN" w:bidi="ar-SA"/>
              </w:rPr>
              <w:t>异议</w:t>
            </w:r>
          </w:p>
        </w:tc>
        <w:tc>
          <w:tcPr>
            <w:tcW w:w="6746" w:type="dxa"/>
            <w:vAlign w:val="center"/>
          </w:tcPr>
          <w:p w14:paraId="75057D5B">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eastAsia" w:ascii="Times New Roman" w:hAnsi="Times New Roman" w:eastAsia="仿宋" w:cs="Times New Roman"/>
                <w:kern w:val="0"/>
                <w:sz w:val="22"/>
                <w:szCs w:val="22"/>
                <w:highlight w:val="none"/>
                <w:lang w:val="en-US" w:eastAsia="zh-CN" w:bidi="ar-SA"/>
              </w:rPr>
              <w:t>（1）联系电话：19950260831</w:t>
            </w:r>
          </w:p>
          <w:p w14:paraId="3F415127">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w:t>
            </w:r>
            <w:r>
              <w:rPr>
                <w:rFonts w:hint="eastAsia" w:ascii="Times New Roman" w:hAnsi="Times New Roman" w:eastAsia="仿宋" w:cs="Times New Roman"/>
                <w:kern w:val="0"/>
                <w:sz w:val="22"/>
                <w:szCs w:val="22"/>
                <w:highlight w:val="none"/>
                <w:lang w:val="en-US" w:eastAsia="zh-CN" w:bidi="ar-SA"/>
              </w:rPr>
              <w:t>2</w:t>
            </w:r>
            <w:r>
              <w:rPr>
                <w:rFonts w:hint="eastAsia" w:ascii="Times New Roman" w:hAnsi="Times New Roman" w:eastAsia="仿宋" w:cs="Times New Roman"/>
                <w:kern w:val="0"/>
                <w:sz w:val="22"/>
                <w:szCs w:val="22"/>
                <w:highlight w:val="none"/>
                <w:lang w:val="zh-CN" w:eastAsia="zh-CN" w:bidi="ar-SA"/>
              </w:rPr>
              <w:t>）提交地址：</w:t>
            </w:r>
            <w:r>
              <w:rPr>
                <w:rFonts w:hint="eastAsia" w:ascii="Times New Roman" w:hAnsi="Times New Roman" w:eastAsia="仿宋" w:cs="Times New Roman"/>
                <w:kern w:val="0"/>
                <w:sz w:val="22"/>
                <w:szCs w:val="22"/>
                <w:highlight w:val="none"/>
                <w:lang w:val="en-US" w:eastAsia="zh-CN" w:bidi="ar-SA"/>
              </w:rPr>
              <w:t>成</w:t>
            </w:r>
            <w:r>
              <w:rPr>
                <w:rFonts w:hint="eastAsia" w:ascii="Times New Roman" w:hAnsi="Times New Roman" w:eastAsia="仿宋" w:cs="Times New Roman"/>
                <w:kern w:val="0"/>
                <w:sz w:val="22"/>
                <w:szCs w:val="22"/>
                <w:highlight w:val="none"/>
                <w:lang w:val="zh-CN" w:eastAsia="zh-CN" w:bidi="ar-SA"/>
              </w:rPr>
              <w:t>都市武侯区武侯大道顺江段77号汇点广场（吾悦广场）2座709号</w:t>
            </w:r>
          </w:p>
          <w:p w14:paraId="63BBE9AA">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w:t>
            </w:r>
            <w:r>
              <w:rPr>
                <w:rFonts w:hint="eastAsia" w:ascii="Times New Roman" w:hAnsi="Times New Roman" w:eastAsia="仿宋" w:cs="Times New Roman"/>
                <w:kern w:val="0"/>
                <w:sz w:val="22"/>
                <w:szCs w:val="22"/>
                <w:highlight w:val="none"/>
                <w:lang w:val="en-US" w:eastAsia="zh-CN" w:bidi="ar-SA"/>
              </w:rPr>
              <w:t>3</w:t>
            </w:r>
            <w:r>
              <w:rPr>
                <w:rFonts w:hint="eastAsia" w:ascii="Times New Roman" w:hAnsi="Times New Roman" w:eastAsia="仿宋" w:cs="Times New Roman"/>
                <w:kern w:val="0"/>
                <w:sz w:val="22"/>
                <w:szCs w:val="22"/>
                <w:highlight w:val="none"/>
                <w:lang w:val="zh-CN" w:eastAsia="zh-CN" w:bidi="ar-SA"/>
              </w:rPr>
              <w:t>）提交方式：书面形式；</w:t>
            </w:r>
          </w:p>
          <w:p w14:paraId="4B678A7C">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en-US" w:eastAsia="zh-CN" w:bidi="ar-SA"/>
              </w:rPr>
            </w:pPr>
            <w:r>
              <w:rPr>
                <w:rFonts w:hint="eastAsia" w:ascii="Times New Roman" w:hAnsi="Times New Roman" w:eastAsia="仿宋" w:cs="Times New Roman"/>
                <w:kern w:val="0"/>
                <w:sz w:val="22"/>
                <w:szCs w:val="22"/>
                <w:highlight w:val="none"/>
                <w:lang w:val="en-US" w:eastAsia="zh-CN" w:bidi="ar-SA"/>
              </w:rPr>
              <w:t>（4）提出时间：供应商认为采购文件、采购过程、成交或者成交结果使自己的权益受到损害的，可以在知道或者应知其权益受到损害之日起7个工作日内提出异议；</w:t>
            </w:r>
          </w:p>
          <w:p w14:paraId="6F1F846A">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eastAsia" w:ascii="Times New Roman" w:hAnsi="Times New Roman" w:eastAsia="仿宋" w:cs="Times New Roman"/>
                <w:kern w:val="0"/>
                <w:sz w:val="22"/>
                <w:szCs w:val="22"/>
                <w:highlight w:val="none"/>
                <w:lang w:val="en-US" w:eastAsia="zh-CN" w:bidi="ar-SA"/>
              </w:rPr>
              <w:t>（5）提出要求：供应商应一次性提出针对本项目的异议，且异议须提供相应的依据；</w:t>
            </w:r>
          </w:p>
          <w:p w14:paraId="0238553A">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b/>
                <w:bCs/>
                <w:kern w:val="0"/>
                <w:sz w:val="22"/>
                <w:szCs w:val="22"/>
                <w:highlight w:val="none"/>
                <w:lang w:val="en-US" w:eastAsia="zh-CN" w:bidi="ar-SA"/>
              </w:rPr>
            </w:pPr>
            <w:r>
              <w:rPr>
                <w:rFonts w:hint="eastAsia" w:ascii="Times New Roman" w:hAnsi="Times New Roman" w:eastAsia="仿宋" w:cs="Times New Roman"/>
                <w:kern w:val="0"/>
                <w:sz w:val="22"/>
                <w:szCs w:val="22"/>
                <w:highlight w:val="none"/>
                <w:lang w:val="en-US" w:eastAsia="zh-CN" w:bidi="ar-SA"/>
              </w:rPr>
              <w:t>（6）异议说明：针对供应商提出的异议，采购代理机构将一次性作出异议说明</w:t>
            </w:r>
          </w:p>
        </w:tc>
      </w:tr>
      <w:tr w14:paraId="28126C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FEB2296">
            <w:pPr>
              <w:pStyle w:val="35"/>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5DAAFABB">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成交通知书领取</w:t>
            </w:r>
          </w:p>
        </w:tc>
        <w:tc>
          <w:tcPr>
            <w:tcW w:w="6746" w:type="dxa"/>
            <w:vAlign w:val="center"/>
          </w:tcPr>
          <w:p w14:paraId="4D9D513B">
            <w:pPr>
              <w:tabs>
                <w:tab w:val="left" w:pos="7665"/>
              </w:tabs>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lang w:eastAsia="zh-CN"/>
              </w:rPr>
              <w:t>成交</w:t>
            </w:r>
            <w:r>
              <w:rPr>
                <w:rFonts w:hint="eastAsia" w:ascii="仿宋" w:hAnsi="仿宋" w:eastAsia="仿宋" w:cs="仿宋"/>
                <w:sz w:val="24"/>
                <w:highlight w:val="none"/>
              </w:rPr>
              <w:t>公告在</w:t>
            </w:r>
            <w:r>
              <w:rPr>
                <w:rFonts w:hint="eastAsia" w:ascii="仿宋" w:hAnsi="仿宋" w:eastAsia="仿宋" w:cs="仿宋"/>
                <w:sz w:val="24"/>
                <w:highlight w:val="none"/>
                <w:lang w:eastAsia="zh-CN"/>
              </w:rPr>
              <w:t>中国招标投标公共服务平台</w:t>
            </w:r>
            <w:r>
              <w:rPr>
                <w:rFonts w:hint="eastAsia" w:ascii="仿宋" w:hAnsi="仿宋" w:eastAsia="仿宋" w:cs="仿宋"/>
                <w:sz w:val="24"/>
                <w:highlight w:val="none"/>
              </w:rPr>
              <w:t>上公告后</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个工作日内，请</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办理代理服务费后凭有效身份证明（单位介绍信、经办人身份证复印件加盖单位公章）到</w:t>
            </w:r>
            <w:r>
              <w:rPr>
                <w:rFonts w:hint="eastAsia" w:ascii="仿宋" w:hAnsi="仿宋" w:eastAsia="仿宋" w:cs="仿宋"/>
                <w:bCs/>
                <w:sz w:val="24"/>
                <w:highlight w:val="none"/>
                <w:lang w:eastAsia="zh-CN"/>
              </w:rPr>
              <w:t>恒泰工程咨询集团有限公司</w:t>
            </w:r>
            <w:r>
              <w:rPr>
                <w:rFonts w:hint="eastAsia" w:ascii="仿宋" w:hAnsi="仿宋" w:eastAsia="仿宋" w:cs="仿宋"/>
                <w:sz w:val="24"/>
                <w:highlight w:val="none"/>
              </w:rPr>
              <w:t>领取</w:t>
            </w:r>
            <w:r>
              <w:rPr>
                <w:rFonts w:hint="eastAsia" w:ascii="仿宋" w:hAnsi="仿宋" w:eastAsia="仿宋" w:cs="仿宋"/>
                <w:sz w:val="24"/>
                <w:highlight w:val="none"/>
                <w:lang w:eastAsia="zh-CN"/>
              </w:rPr>
              <w:t>成交</w:t>
            </w:r>
            <w:r>
              <w:rPr>
                <w:rFonts w:hint="eastAsia" w:ascii="仿宋" w:hAnsi="仿宋" w:eastAsia="仿宋" w:cs="仿宋"/>
                <w:sz w:val="24"/>
                <w:highlight w:val="none"/>
              </w:rPr>
              <w:t>通知书。</w:t>
            </w:r>
          </w:p>
          <w:p w14:paraId="08DCCCA9">
            <w:pPr>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w:t>
            </w:r>
            <w:r>
              <w:rPr>
                <w:rFonts w:hint="eastAsia" w:ascii="仿宋" w:hAnsi="仿宋" w:eastAsia="仿宋" w:cs="仿宋"/>
                <w:sz w:val="24"/>
                <w:highlight w:val="none"/>
                <w:lang w:val="en-US" w:eastAsia="zh-CN"/>
              </w:rPr>
              <w:t xml:space="preserve">王女士 </w:t>
            </w:r>
            <w:r>
              <w:rPr>
                <w:rFonts w:hint="eastAsia" w:ascii="仿宋" w:hAnsi="仿宋" w:eastAsia="仿宋" w:cs="仿宋"/>
                <w:sz w:val="24"/>
                <w:highlight w:val="none"/>
                <w:lang w:val="zh-CN"/>
              </w:rPr>
              <w:t>。</w:t>
            </w:r>
          </w:p>
          <w:p w14:paraId="5D77F926">
            <w:pPr>
              <w:tabs>
                <w:tab w:val="left" w:pos="7665"/>
              </w:tabs>
              <w:spacing w:line="400" w:lineRule="exact"/>
              <w:rPr>
                <w:rFonts w:hint="eastAsia" w:ascii="仿宋" w:hAnsi="仿宋" w:eastAsia="仿宋" w:cs="仿宋"/>
                <w:sz w:val="24"/>
                <w:szCs w:val="24"/>
                <w:highlight w:val="none"/>
              </w:rPr>
            </w:pPr>
            <w:r>
              <w:rPr>
                <w:rFonts w:hint="eastAsia" w:ascii="仿宋" w:hAnsi="仿宋" w:eastAsia="仿宋" w:cs="仿宋"/>
                <w:sz w:val="24"/>
                <w:highlight w:val="none"/>
                <w:lang w:val="zh-CN"/>
              </w:rPr>
              <w:t>联系电话：</w:t>
            </w:r>
            <w:r>
              <w:rPr>
                <w:rFonts w:hint="eastAsia" w:ascii="仿宋" w:hAnsi="仿宋" w:eastAsia="仿宋" w:cs="仿宋"/>
                <w:sz w:val="24"/>
                <w:szCs w:val="24"/>
                <w:highlight w:val="none"/>
                <w:lang w:eastAsia="zh-CN"/>
              </w:rPr>
              <w:t>19950260831</w:t>
            </w:r>
            <w:r>
              <w:rPr>
                <w:rFonts w:hint="eastAsia" w:ascii="仿宋" w:hAnsi="仿宋" w:eastAsia="仿宋" w:cs="仿宋"/>
                <w:sz w:val="24"/>
                <w:highlight w:val="none"/>
                <w:lang w:val="zh-CN"/>
              </w:rPr>
              <w:t>。</w:t>
            </w:r>
          </w:p>
          <w:p w14:paraId="7D9A931E">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sz w:val="22"/>
                <w:szCs w:val="22"/>
                <w:highlight w:val="none"/>
                <w:lang w:val="zh-CN" w:eastAsia="zh-CN"/>
              </w:rPr>
            </w:pPr>
            <w:r>
              <w:rPr>
                <w:rFonts w:hint="eastAsia" w:ascii="仿宋" w:hAnsi="仿宋" w:eastAsia="仿宋" w:cs="仿宋"/>
                <w:sz w:val="24"/>
                <w:szCs w:val="24"/>
                <w:highlight w:val="none"/>
              </w:rPr>
              <w:t>地址：成都市武侯区武侯大道顺江段77号汇点广场（吾悦广场）2座709号。</w:t>
            </w:r>
          </w:p>
        </w:tc>
      </w:tr>
      <w:tr w14:paraId="539BA9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FF7EB3A">
            <w:pPr>
              <w:pStyle w:val="35"/>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5FCBFB8D">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en-US" w:eastAsia="zh-CN" w:bidi="ar-SA"/>
              </w:rPr>
              <w:t>采购代理</w:t>
            </w:r>
            <w:r>
              <w:rPr>
                <w:rFonts w:hint="eastAsia" w:ascii="Times New Roman" w:hAnsi="Times New Roman" w:eastAsia="仿宋" w:cs="Times New Roman"/>
                <w:b w:val="0"/>
                <w:bCs w:val="0"/>
                <w:kern w:val="0"/>
                <w:sz w:val="22"/>
                <w:szCs w:val="22"/>
                <w:highlight w:val="none"/>
                <w:lang w:val="zh-CN" w:eastAsia="zh-CN" w:bidi="ar-SA"/>
              </w:rPr>
              <w:t>服务费</w:t>
            </w:r>
          </w:p>
          <w:p w14:paraId="1090EE8B">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bCs/>
                <w:kern w:val="0"/>
                <w:sz w:val="22"/>
                <w:szCs w:val="22"/>
                <w:highlight w:val="none"/>
                <w:lang w:val="zh-CN" w:eastAsia="zh-CN" w:bidi="ar-SA"/>
              </w:rPr>
              <w:t>（实质性要求）</w:t>
            </w:r>
          </w:p>
        </w:tc>
        <w:tc>
          <w:tcPr>
            <w:tcW w:w="6746" w:type="dxa"/>
            <w:vAlign w:val="center"/>
          </w:tcPr>
          <w:p w14:paraId="3B58DE1F">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本项目</w:t>
            </w:r>
            <w:r>
              <w:rPr>
                <w:rFonts w:hint="eastAsia" w:ascii="仿宋" w:hAnsi="仿宋" w:eastAsia="仿宋" w:cs="仿宋"/>
                <w:color w:val="000000" w:themeColor="text1"/>
                <w:sz w:val="22"/>
                <w:szCs w:val="22"/>
                <w:highlight w:val="none"/>
                <w:lang w:val="zh-CN" w:eastAsia="zh-CN"/>
                <w14:textFill>
                  <w14:solidFill>
                    <w14:schemeClr w14:val="tx1"/>
                  </w14:solidFill>
                </w14:textFill>
              </w:rPr>
              <w:t>参照《四川省政府采购营商环境指标提升专项行动工作方案》中“成本+合理利润”原则，本项目采购代理服务费共计</w:t>
            </w:r>
            <w:r>
              <w:rPr>
                <w:rFonts w:hint="eastAsia" w:ascii="仿宋" w:hAnsi="仿宋" w:eastAsia="仿宋" w:cs="仿宋"/>
                <w:color w:val="000000" w:themeColor="text1"/>
                <w:sz w:val="22"/>
                <w:szCs w:val="22"/>
                <w:highlight w:val="none"/>
                <w:lang w:val="en-US" w:eastAsia="zh-CN"/>
                <w14:textFill>
                  <w14:solidFill>
                    <w14:schemeClr w14:val="tx1"/>
                  </w14:solidFill>
                </w14:textFill>
              </w:rPr>
              <w:t>3000.00</w:t>
            </w:r>
            <w:r>
              <w:rPr>
                <w:rFonts w:hint="eastAsia" w:ascii="仿宋" w:hAnsi="仿宋" w:eastAsia="仿宋" w:cs="仿宋"/>
                <w:color w:val="000000" w:themeColor="text1"/>
                <w:sz w:val="22"/>
                <w:szCs w:val="22"/>
                <w:highlight w:val="none"/>
                <w:lang w:val="zh-CN" w:eastAsia="zh-CN"/>
                <w14:textFill>
                  <w14:solidFill>
                    <w14:schemeClr w14:val="tx1"/>
                  </w14:solidFill>
                </w14:textFill>
              </w:rPr>
              <w:t>元；</w:t>
            </w:r>
          </w:p>
          <w:p w14:paraId="730AAD49">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lang w:val="zh-CN" w:eastAsia="zh-CN"/>
                <w14:textFill>
                  <w14:solidFill>
                    <w14:schemeClr w14:val="tx1"/>
                  </w14:solidFill>
                </w14:textFill>
              </w:rPr>
              <w:t>）由成交供应商在领取</w:t>
            </w:r>
            <w:r>
              <w:rPr>
                <w:rFonts w:hint="eastAsia" w:ascii="仿宋" w:hAnsi="仿宋" w:eastAsia="仿宋" w:cs="仿宋"/>
                <w:color w:val="000000" w:themeColor="text1"/>
                <w:sz w:val="22"/>
                <w:szCs w:val="22"/>
                <w:highlight w:val="none"/>
                <w:lang w:val="en-US" w:eastAsia="zh-CN"/>
                <w14:textFill>
                  <w14:solidFill>
                    <w14:schemeClr w14:val="tx1"/>
                  </w14:solidFill>
                </w14:textFill>
              </w:rPr>
              <w:t>成交</w:t>
            </w:r>
            <w:r>
              <w:rPr>
                <w:rFonts w:hint="eastAsia" w:ascii="仿宋" w:hAnsi="仿宋" w:eastAsia="仿宋" w:cs="仿宋"/>
                <w:color w:val="000000" w:themeColor="text1"/>
                <w:sz w:val="22"/>
                <w:szCs w:val="22"/>
                <w:highlight w:val="none"/>
                <w:lang w:val="zh-CN" w:eastAsia="zh-CN"/>
                <w14:textFill>
                  <w14:solidFill>
                    <w14:schemeClr w14:val="tx1"/>
                  </w14:solidFill>
                </w14:textFill>
              </w:rPr>
              <w:t>通知书前向采购代理机构</w:t>
            </w:r>
            <w:r>
              <w:rPr>
                <w:rFonts w:hint="eastAsia" w:ascii="仿宋" w:hAnsi="仿宋" w:eastAsia="仿宋" w:cs="仿宋"/>
                <w:color w:val="000000" w:themeColor="text1"/>
                <w:sz w:val="22"/>
                <w:szCs w:val="22"/>
                <w:highlight w:val="none"/>
                <w:lang w:val="en-US" w:eastAsia="zh-CN"/>
                <w14:textFill>
                  <w14:solidFill>
                    <w14:schemeClr w14:val="tx1"/>
                  </w14:solidFill>
                </w14:textFill>
              </w:rPr>
              <w:t>一次性</w:t>
            </w:r>
            <w:r>
              <w:rPr>
                <w:rFonts w:hint="eastAsia" w:ascii="仿宋" w:hAnsi="仿宋" w:eastAsia="仿宋" w:cs="仿宋"/>
                <w:color w:val="000000" w:themeColor="text1"/>
                <w:sz w:val="22"/>
                <w:szCs w:val="22"/>
                <w:highlight w:val="none"/>
                <w:lang w:val="zh-CN" w:eastAsia="zh-CN"/>
                <w14:textFill>
                  <w14:solidFill>
                    <w14:schemeClr w14:val="tx1"/>
                  </w14:solidFill>
                </w14:textFill>
              </w:rPr>
              <w:t>缴纳采购代理服务费；</w:t>
            </w:r>
          </w:p>
          <w:p w14:paraId="6BA0D09D">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收款单位</w:t>
            </w: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default" w:ascii="仿宋" w:hAnsi="仿宋" w:eastAsia="仿宋" w:cs="仿宋"/>
                <w:color w:val="000000" w:themeColor="text1"/>
                <w:sz w:val="22"/>
                <w:szCs w:val="22"/>
                <w:highlight w:val="none"/>
                <w:lang w:val="en-US" w:eastAsia="zh-CN"/>
                <w14:textFill>
                  <w14:solidFill>
                    <w14:schemeClr w14:val="tx1"/>
                  </w14:solidFill>
                </w14:textFill>
              </w:rPr>
              <w:t>恒泰工程咨询集团有限公司四川分公司</w:t>
            </w:r>
            <w:r>
              <w:rPr>
                <w:rFonts w:hint="eastAsia" w:ascii="Times New Roman" w:hAnsi="Times New Roman" w:eastAsia="仿宋" w:cs="Times New Roman"/>
                <w:kern w:val="0"/>
                <w:sz w:val="22"/>
                <w:szCs w:val="22"/>
                <w:highlight w:val="none"/>
                <w:lang w:val="zh-CN" w:eastAsia="zh-CN" w:bidi="ar-SA"/>
              </w:rPr>
              <w:t>；</w:t>
            </w:r>
          </w:p>
          <w:p w14:paraId="068304CA">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开 户 行：中国民生银行股份有限公司成都蜀汉支行；</w:t>
            </w:r>
          </w:p>
          <w:p w14:paraId="62F752B7">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Times New Roman" w:hAnsi="Times New Roman" w:eastAsia="仿宋" w:cs="Times New Roman"/>
                <w:kern w:val="0"/>
                <w:sz w:val="22"/>
                <w:szCs w:val="22"/>
                <w:highlight w:val="none"/>
                <w:lang w:val="zh-CN" w:eastAsia="zh-CN" w:bidi="ar-SA"/>
              </w:rPr>
              <w:t>银行账号：6387 97990</w:t>
            </w:r>
          </w:p>
        </w:tc>
      </w:tr>
      <w:tr w14:paraId="650E0C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96E8812">
            <w:pPr>
              <w:pStyle w:val="35"/>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1EF033B7">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报价</w:t>
            </w:r>
            <w:r>
              <w:rPr>
                <w:rFonts w:hint="eastAsia" w:ascii="Times New Roman" w:hAnsi="Times New Roman" w:eastAsia="仿宋" w:cs="Times New Roman"/>
                <w:b w:val="0"/>
                <w:bCs w:val="0"/>
                <w:kern w:val="0"/>
                <w:sz w:val="22"/>
                <w:szCs w:val="22"/>
                <w:highlight w:val="none"/>
                <w:lang w:val="en-US" w:eastAsia="zh-CN" w:bidi="ar-SA"/>
              </w:rPr>
              <w:t>或</w:t>
            </w:r>
            <w:r>
              <w:rPr>
                <w:rFonts w:hint="eastAsia" w:ascii="Times New Roman" w:hAnsi="Times New Roman" w:eastAsia="仿宋" w:cs="Times New Roman"/>
                <w:b w:val="0"/>
                <w:bCs w:val="0"/>
                <w:kern w:val="0"/>
                <w:sz w:val="22"/>
                <w:szCs w:val="22"/>
                <w:highlight w:val="none"/>
                <w:lang w:val="zh-CN" w:eastAsia="zh-CN" w:bidi="ar-SA"/>
              </w:rPr>
              <w:t>分值</w:t>
            </w:r>
            <w:r>
              <w:rPr>
                <w:rFonts w:hint="eastAsia" w:ascii="Times New Roman" w:hAnsi="Times New Roman" w:eastAsia="仿宋" w:cs="Times New Roman"/>
                <w:b w:val="0"/>
                <w:bCs w:val="0"/>
                <w:kern w:val="0"/>
                <w:sz w:val="22"/>
                <w:szCs w:val="22"/>
                <w:highlight w:val="none"/>
                <w:lang w:val="en-US" w:eastAsia="zh-CN" w:bidi="ar-SA"/>
              </w:rPr>
              <w:t>的</w:t>
            </w:r>
            <w:r>
              <w:rPr>
                <w:rFonts w:hint="eastAsia" w:ascii="Times New Roman" w:hAnsi="Times New Roman" w:eastAsia="仿宋" w:cs="Times New Roman"/>
                <w:b w:val="0"/>
                <w:bCs w:val="0"/>
                <w:kern w:val="0"/>
                <w:sz w:val="22"/>
                <w:szCs w:val="22"/>
                <w:highlight w:val="none"/>
                <w:lang w:val="zh-CN" w:eastAsia="zh-CN" w:bidi="ar-SA"/>
              </w:rPr>
              <w:t>精确度</w:t>
            </w:r>
          </w:p>
        </w:tc>
        <w:tc>
          <w:tcPr>
            <w:tcW w:w="6746" w:type="dxa"/>
            <w:vAlign w:val="center"/>
          </w:tcPr>
          <w:p w14:paraId="23F965F0">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kern w:val="0"/>
                <w:sz w:val="22"/>
                <w:szCs w:val="22"/>
                <w:highlight w:val="none"/>
                <w:lang w:val="en-US" w:eastAsia="zh-CN" w:bidi="ar-SA"/>
              </w:rPr>
              <w:t>本项目所涉及的报价或分值的计算，保留小数点后两位</w:t>
            </w:r>
            <w:r>
              <w:rPr>
                <w:rFonts w:hint="eastAsia" w:ascii="Times New Roman" w:hAnsi="Times New Roman" w:eastAsia="仿宋" w:cs="Times New Roman"/>
                <w:kern w:val="0"/>
                <w:sz w:val="22"/>
                <w:szCs w:val="22"/>
                <w:highlight w:val="none"/>
                <w:lang w:val="zh-CN" w:eastAsia="zh-CN" w:bidi="ar-SA"/>
              </w:rPr>
              <w:t>，超出</w:t>
            </w:r>
            <w:r>
              <w:rPr>
                <w:rFonts w:hint="eastAsia" w:ascii="Times New Roman" w:hAnsi="Times New Roman" w:eastAsia="仿宋" w:cs="Times New Roman"/>
                <w:kern w:val="0"/>
                <w:sz w:val="22"/>
                <w:szCs w:val="22"/>
                <w:highlight w:val="none"/>
                <w:lang w:val="en-US" w:eastAsia="zh-CN" w:bidi="ar-SA"/>
              </w:rPr>
              <w:t>后两</w:t>
            </w:r>
            <w:r>
              <w:rPr>
                <w:rFonts w:hint="eastAsia" w:ascii="Times New Roman" w:hAnsi="Times New Roman" w:eastAsia="仿宋" w:cs="Times New Roman"/>
                <w:kern w:val="0"/>
                <w:sz w:val="22"/>
                <w:szCs w:val="22"/>
                <w:highlight w:val="none"/>
                <w:lang w:val="zh-CN" w:eastAsia="zh-CN" w:bidi="ar-SA"/>
              </w:rPr>
              <w:t>的数值</w:t>
            </w:r>
            <w:r>
              <w:rPr>
                <w:rFonts w:hint="eastAsia" w:ascii="Times New Roman" w:hAnsi="Times New Roman" w:eastAsia="仿宋" w:cs="Times New Roman"/>
                <w:kern w:val="0"/>
                <w:sz w:val="22"/>
                <w:szCs w:val="22"/>
                <w:highlight w:val="none"/>
                <w:lang w:val="en-US" w:eastAsia="zh-CN" w:bidi="ar-SA"/>
              </w:rPr>
              <w:t>均</w:t>
            </w:r>
            <w:r>
              <w:rPr>
                <w:rFonts w:hint="eastAsia" w:ascii="Times New Roman" w:hAnsi="Times New Roman" w:eastAsia="仿宋" w:cs="Times New Roman"/>
                <w:kern w:val="0"/>
                <w:sz w:val="22"/>
                <w:szCs w:val="22"/>
                <w:highlight w:val="none"/>
                <w:lang w:val="zh-CN" w:eastAsia="zh-CN" w:bidi="ar-SA"/>
              </w:rPr>
              <w:t>采用四舍五入的方式进行精确</w:t>
            </w:r>
          </w:p>
        </w:tc>
      </w:tr>
      <w:tr w14:paraId="4DC70D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3248108">
            <w:pPr>
              <w:pStyle w:val="35"/>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73F3D754">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bCs/>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说明</w:t>
            </w:r>
          </w:p>
        </w:tc>
        <w:tc>
          <w:tcPr>
            <w:tcW w:w="6746" w:type="dxa"/>
            <w:vAlign w:val="center"/>
          </w:tcPr>
          <w:p w14:paraId="5A388800">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r>
              <w:rPr>
                <w:rFonts w:hint="eastAsia" w:ascii="仿宋" w:hAnsi="仿宋" w:eastAsia="仿宋" w:cs="仿宋"/>
                <w:color w:val="000000" w:themeColor="text1"/>
                <w:sz w:val="22"/>
                <w:szCs w:val="22"/>
                <w:highlight w:val="none"/>
                <w:lang w:val="zh-CN" w:eastAsia="zh-CN"/>
                <w14:textFill>
                  <w14:solidFill>
                    <w14:schemeClr w14:val="tx1"/>
                  </w14:solidFill>
                </w14:textFill>
              </w:rPr>
              <w:t>）本项目为非政府采购项目，磋商文件中所有涉及政府采购相关内容均为参照执行，最终解释权归采购人和采购代理机构所有</w:t>
            </w:r>
            <w:r>
              <w:rPr>
                <w:rFonts w:hint="eastAsia" w:ascii="仿宋" w:hAnsi="仿宋" w:eastAsia="仿宋" w:cs="仿宋"/>
                <w:color w:val="000000" w:themeColor="text1"/>
                <w:sz w:val="22"/>
                <w:szCs w:val="22"/>
                <w:highlight w:val="none"/>
                <w:lang w:val="en-US" w:eastAsia="zh-CN"/>
                <w14:textFill>
                  <w14:solidFill>
                    <w14:schemeClr w14:val="tx1"/>
                  </w14:solidFill>
                </w14:textFill>
              </w:rPr>
              <w:t>;</w:t>
            </w:r>
          </w:p>
          <w:p w14:paraId="2F96ECCD">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lang w:val="zh-CN" w:eastAsia="zh-CN"/>
                <w14:textFill>
                  <w14:solidFill>
                    <w14:schemeClr w14:val="tx1"/>
                  </w14:solidFill>
                </w14:textFill>
              </w:rPr>
              <w:t>）本“供应商须知附表”以外的其他内容是对供应商须知附表的具体补充，如有不一致，以“本供应商须知附表”为准</w:t>
            </w:r>
          </w:p>
        </w:tc>
      </w:tr>
      <w:tr w14:paraId="3CD2011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BD80D13">
            <w:pPr>
              <w:pStyle w:val="35"/>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shd w:val="clear" w:color="auto" w:fill="auto"/>
            <w:vAlign w:val="center"/>
          </w:tcPr>
          <w:p w14:paraId="44275B77">
            <w:pPr>
              <w:pStyle w:val="46"/>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小微企业（监狱企业、残疾人福利性单位视同小微企业）价格扣除</w:t>
            </w:r>
          </w:p>
        </w:tc>
        <w:tc>
          <w:tcPr>
            <w:tcW w:w="6746" w:type="dxa"/>
            <w:shd w:val="clear" w:color="auto" w:fill="auto"/>
            <w:vAlign w:val="center"/>
          </w:tcPr>
          <w:p w14:paraId="4A7FF598">
            <w:pPr>
              <w:pStyle w:val="46"/>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sz w:val="22"/>
                <w:szCs w:val="22"/>
                <w:highlight w:val="none"/>
                <w:lang w:val="zh-CN" w:eastAsia="zh-CN"/>
              </w:rPr>
            </w:pPr>
            <w:r>
              <w:rPr>
                <w:rFonts w:hint="eastAsia" w:ascii="Times New Roman" w:hAnsi="Times New Roman" w:eastAsia="仿宋" w:cs="Times New Roman"/>
                <w:sz w:val="22"/>
                <w:szCs w:val="22"/>
                <w:highlight w:val="none"/>
                <w:lang w:val="zh-CN" w:eastAsia="zh-CN"/>
              </w:rPr>
              <w:t>根据《政府采购促进中小企业发展管理办法》（财库〔2020〕46号）《关于进一步加大政府采购支持中小企业力度的通知》（财库〔2022〕19号）的规定，对小微企业（监狱企业、残疾人福利性单位视同小微企业）制造的货物的价格给予10%的价格扣除，用扣除后的价格参加评审，</w:t>
            </w:r>
            <w:r>
              <w:rPr>
                <w:rFonts w:hint="eastAsia" w:ascii="Times New Roman" w:hAnsi="Times New Roman" w:eastAsia="仿宋" w:cs="Times New Roman"/>
                <w:sz w:val="22"/>
                <w:szCs w:val="22"/>
                <w:highlight w:val="none"/>
                <w:lang w:val="en-US" w:eastAsia="zh-CN"/>
              </w:rPr>
              <w:t>符合条件的供应商提供如下声明函或证明材料，否则不享受价格扣除：</w:t>
            </w:r>
          </w:p>
          <w:p w14:paraId="0500B66B">
            <w:pPr>
              <w:pStyle w:val="46"/>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sz w:val="22"/>
                <w:szCs w:val="22"/>
                <w:highlight w:val="none"/>
                <w:lang w:val="zh-CN" w:eastAsia="zh-CN"/>
              </w:rPr>
            </w:pPr>
            <w:r>
              <w:rPr>
                <w:rFonts w:hint="eastAsia" w:ascii="Times New Roman" w:hAnsi="Times New Roman" w:eastAsia="仿宋" w:cs="Times New Roman"/>
                <w:sz w:val="22"/>
                <w:szCs w:val="22"/>
                <w:highlight w:val="none"/>
                <w:lang w:val="zh-CN" w:eastAsia="zh-CN"/>
              </w:rPr>
              <w:t>（</w:t>
            </w:r>
            <w:r>
              <w:rPr>
                <w:rFonts w:hint="eastAsia" w:ascii="Times New Roman" w:hAnsi="Times New Roman" w:eastAsia="仿宋" w:cs="Times New Roman"/>
                <w:sz w:val="22"/>
                <w:szCs w:val="22"/>
                <w:highlight w:val="none"/>
                <w:lang w:val="en-US" w:eastAsia="zh-CN"/>
              </w:rPr>
              <w:t>1</w:t>
            </w:r>
            <w:r>
              <w:rPr>
                <w:rFonts w:hint="eastAsia" w:ascii="Times New Roman" w:hAnsi="Times New Roman" w:eastAsia="仿宋" w:cs="Times New Roman"/>
                <w:sz w:val="22"/>
                <w:szCs w:val="22"/>
                <w:highlight w:val="none"/>
                <w:lang w:val="zh-CN" w:eastAsia="zh-CN"/>
              </w:rPr>
              <w:t>）符合小型、微型企业条件的</w:t>
            </w:r>
            <w:r>
              <w:rPr>
                <w:rFonts w:hint="eastAsia" w:ascii="Times New Roman" w:hAnsi="Times New Roman" w:eastAsia="仿宋" w:cs="Times New Roman"/>
                <w:sz w:val="22"/>
                <w:szCs w:val="22"/>
                <w:highlight w:val="none"/>
                <w:lang w:val="en-US" w:eastAsia="zh-CN"/>
              </w:rPr>
              <w:t>供应商</w:t>
            </w:r>
            <w:r>
              <w:rPr>
                <w:rFonts w:hint="eastAsia" w:ascii="Times New Roman" w:hAnsi="Times New Roman" w:eastAsia="仿宋" w:cs="Times New Roman"/>
                <w:sz w:val="22"/>
                <w:szCs w:val="22"/>
                <w:highlight w:val="none"/>
                <w:lang w:val="zh-CN" w:eastAsia="zh-CN"/>
              </w:rPr>
              <w:t>，提供《中小企业声明函》原件（格式</w:t>
            </w:r>
            <w:r>
              <w:rPr>
                <w:rFonts w:hint="eastAsia" w:ascii="Times New Roman" w:hAnsi="Times New Roman" w:eastAsia="仿宋" w:cs="Times New Roman"/>
                <w:sz w:val="22"/>
                <w:szCs w:val="22"/>
                <w:highlight w:val="none"/>
                <w:lang w:val="en-US" w:eastAsia="zh-CN"/>
              </w:rPr>
              <w:t>详</w:t>
            </w:r>
            <w:r>
              <w:rPr>
                <w:rFonts w:hint="eastAsia" w:ascii="Times New Roman" w:hAnsi="Times New Roman" w:eastAsia="仿宋" w:cs="Times New Roman"/>
                <w:sz w:val="22"/>
                <w:szCs w:val="22"/>
                <w:highlight w:val="none"/>
                <w:lang w:val="zh-CN" w:eastAsia="zh-CN"/>
              </w:rPr>
              <w:t>见第</w:t>
            </w:r>
            <w:r>
              <w:rPr>
                <w:rFonts w:hint="eastAsia" w:ascii="Times New Roman" w:hAnsi="Times New Roman" w:eastAsia="仿宋" w:cs="Times New Roman"/>
                <w:sz w:val="22"/>
                <w:szCs w:val="22"/>
                <w:highlight w:val="none"/>
                <w:lang w:val="en-US" w:eastAsia="zh-CN"/>
              </w:rPr>
              <w:t>六</w:t>
            </w:r>
            <w:r>
              <w:rPr>
                <w:rFonts w:hint="eastAsia" w:ascii="Times New Roman" w:hAnsi="Times New Roman" w:eastAsia="仿宋" w:cs="Times New Roman"/>
                <w:sz w:val="22"/>
                <w:szCs w:val="22"/>
                <w:highlight w:val="none"/>
                <w:lang w:val="zh-CN" w:eastAsia="zh-CN"/>
              </w:rPr>
              <w:t>章）；</w:t>
            </w:r>
          </w:p>
          <w:p w14:paraId="0524FF14">
            <w:pPr>
              <w:pStyle w:val="46"/>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sz w:val="22"/>
                <w:szCs w:val="22"/>
                <w:highlight w:val="none"/>
                <w:lang w:val="zh-CN" w:eastAsia="zh-CN"/>
              </w:rPr>
            </w:pPr>
            <w:r>
              <w:rPr>
                <w:rFonts w:hint="eastAsia" w:ascii="Times New Roman" w:hAnsi="Times New Roman" w:eastAsia="仿宋" w:cs="Times New Roman"/>
                <w:sz w:val="22"/>
                <w:szCs w:val="22"/>
                <w:highlight w:val="none"/>
                <w:lang w:val="zh-CN" w:eastAsia="zh-CN"/>
              </w:rPr>
              <w:t>（</w:t>
            </w:r>
            <w:r>
              <w:rPr>
                <w:rFonts w:hint="eastAsia" w:ascii="Times New Roman" w:hAnsi="Times New Roman" w:eastAsia="仿宋" w:cs="Times New Roman"/>
                <w:sz w:val="22"/>
                <w:szCs w:val="22"/>
                <w:highlight w:val="none"/>
                <w:lang w:val="en-US" w:eastAsia="zh-CN"/>
              </w:rPr>
              <w:t>2）</w:t>
            </w:r>
            <w:r>
              <w:rPr>
                <w:rFonts w:hint="eastAsia" w:ascii="Times New Roman" w:hAnsi="Times New Roman" w:eastAsia="仿宋" w:cs="Times New Roman"/>
                <w:sz w:val="22"/>
                <w:szCs w:val="22"/>
                <w:highlight w:val="none"/>
                <w:lang w:val="zh-CN" w:eastAsia="zh-CN"/>
              </w:rPr>
              <w:t>残疾人福利性单位，提供《残疾人福利性单位声明函》原件（格式</w:t>
            </w:r>
            <w:r>
              <w:rPr>
                <w:rFonts w:hint="eastAsia" w:ascii="Times New Roman" w:hAnsi="Times New Roman" w:eastAsia="仿宋" w:cs="Times New Roman"/>
                <w:sz w:val="22"/>
                <w:szCs w:val="22"/>
                <w:highlight w:val="none"/>
                <w:lang w:val="en-US" w:eastAsia="zh-CN"/>
              </w:rPr>
              <w:t>详</w:t>
            </w:r>
            <w:r>
              <w:rPr>
                <w:rFonts w:hint="eastAsia" w:ascii="Times New Roman" w:hAnsi="Times New Roman" w:eastAsia="仿宋" w:cs="Times New Roman"/>
                <w:sz w:val="22"/>
                <w:szCs w:val="22"/>
                <w:highlight w:val="none"/>
                <w:lang w:val="zh-CN" w:eastAsia="zh-CN"/>
              </w:rPr>
              <w:t>见第</w:t>
            </w:r>
            <w:r>
              <w:rPr>
                <w:rFonts w:hint="eastAsia" w:ascii="Times New Roman" w:hAnsi="Times New Roman" w:eastAsia="仿宋" w:cs="Times New Roman"/>
                <w:sz w:val="22"/>
                <w:szCs w:val="22"/>
                <w:highlight w:val="none"/>
                <w:lang w:val="en-US" w:eastAsia="zh-CN"/>
              </w:rPr>
              <w:t>六</w:t>
            </w:r>
            <w:r>
              <w:rPr>
                <w:rFonts w:hint="eastAsia" w:ascii="Times New Roman" w:hAnsi="Times New Roman" w:eastAsia="仿宋" w:cs="Times New Roman"/>
                <w:sz w:val="22"/>
                <w:szCs w:val="22"/>
                <w:highlight w:val="none"/>
                <w:lang w:val="zh-CN" w:eastAsia="zh-CN"/>
              </w:rPr>
              <w:t>章）；</w:t>
            </w:r>
          </w:p>
          <w:p w14:paraId="14BBCEFB">
            <w:pPr>
              <w:pStyle w:val="46"/>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sz w:val="22"/>
                <w:szCs w:val="22"/>
                <w:highlight w:val="none"/>
                <w:lang w:val="zh-CN" w:eastAsia="zh-CN"/>
              </w:rPr>
            </w:pPr>
            <w:r>
              <w:rPr>
                <w:rFonts w:hint="eastAsia" w:ascii="Times New Roman" w:hAnsi="Times New Roman" w:eastAsia="仿宋" w:cs="Times New Roman"/>
                <w:sz w:val="22"/>
                <w:szCs w:val="22"/>
                <w:highlight w:val="none"/>
                <w:lang w:val="zh-CN" w:eastAsia="zh-CN"/>
              </w:rPr>
              <w:t>（</w:t>
            </w:r>
            <w:r>
              <w:rPr>
                <w:rFonts w:hint="eastAsia" w:ascii="Times New Roman" w:hAnsi="Times New Roman" w:eastAsia="仿宋" w:cs="Times New Roman"/>
                <w:sz w:val="22"/>
                <w:szCs w:val="22"/>
                <w:highlight w:val="none"/>
                <w:lang w:val="en-US" w:eastAsia="zh-CN"/>
              </w:rPr>
              <w:t>3</w:t>
            </w:r>
            <w:r>
              <w:rPr>
                <w:rFonts w:hint="eastAsia" w:ascii="Times New Roman" w:hAnsi="Times New Roman" w:eastAsia="仿宋" w:cs="Times New Roman"/>
                <w:sz w:val="22"/>
                <w:szCs w:val="22"/>
                <w:highlight w:val="none"/>
                <w:lang w:val="zh-CN" w:eastAsia="zh-CN"/>
              </w:rPr>
              <w:t>）监狱企业提供由省级以上监狱管理局、戒毒管理局（含新疆生产建设兵团）出具的属于监狱企业的证明文件</w:t>
            </w:r>
            <w:r>
              <w:rPr>
                <w:rFonts w:hint="eastAsia" w:ascii="Times New Roman" w:hAnsi="Times New Roman" w:eastAsia="仿宋" w:cs="Times New Roman"/>
                <w:sz w:val="22"/>
                <w:szCs w:val="22"/>
                <w:highlight w:val="none"/>
                <w:lang w:val="en-US" w:eastAsia="zh-CN"/>
              </w:rPr>
              <w:t>复印件</w:t>
            </w:r>
            <w:r>
              <w:rPr>
                <w:rFonts w:hint="eastAsia" w:ascii="Times New Roman" w:hAnsi="Times New Roman" w:eastAsia="仿宋" w:cs="Times New Roman"/>
                <w:sz w:val="22"/>
                <w:szCs w:val="22"/>
                <w:highlight w:val="none"/>
                <w:lang w:val="zh-CN" w:eastAsia="zh-CN"/>
              </w:rPr>
              <w:t>（</w:t>
            </w:r>
            <w:r>
              <w:rPr>
                <w:rFonts w:hint="eastAsia" w:ascii="Times New Roman" w:hAnsi="Times New Roman" w:eastAsia="仿宋" w:cs="Times New Roman"/>
                <w:sz w:val="22"/>
                <w:szCs w:val="22"/>
                <w:highlight w:val="none"/>
                <w:lang w:val="en-US" w:eastAsia="zh-CN"/>
              </w:rPr>
              <w:t>格式详见第六章</w:t>
            </w:r>
            <w:r>
              <w:rPr>
                <w:rFonts w:hint="eastAsia" w:ascii="Times New Roman" w:hAnsi="Times New Roman" w:eastAsia="仿宋" w:cs="Times New Roman"/>
                <w:sz w:val="22"/>
                <w:szCs w:val="22"/>
                <w:highlight w:val="none"/>
                <w:lang w:val="zh-CN" w:eastAsia="zh-CN"/>
              </w:rPr>
              <w:t>）；</w:t>
            </w:r>
          </w:p>
          <w:p w14:paraId="26479DFB">
            <w:pPr>
              <w:pStyle w:val="46"/>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sz w:val="22"/>
                <w:szCs w:val="22"/>
                <w:highlight w:val="none"/>
                <w:lang w:val="zh-CN" w:eastAsia="zh-CN"/>
              </w:rPr>
              <w:t>（</w:t>
            </w:r>
            <w:r>
              <w:rPr>
                <w:rFonts w:hint="eastAsia" w:ascii="Times New Roman" w:hAnsi="Times New Roman" w:eastAsia="仿宋" w:cs="Times New Roman"/>
                <w:b w:val="0"/>
                <w:bCs w:val="0"/>
                <w:sz w:val="22"/>
                <w:szCs w:val="22"/>
                <w:highlight w:val="none"/>
                <w:lang w:val="en-US" w:eastAsia="zh-CN"/>
              </w:rPr>
              <w:t>4</w:t>
            </w:r>
            <w:r>
              <w:rPr>
                <w:rFonts w:hint="eastAsia" w:ascii="Times New Roman" w:hAnsi="Times New Roman" w:eastAsia="仿宋" w:cs="Times New Roman"/>
                <w:b w:val="0"/>
                <w:bCs w:val="0"/>
                <w:sz w:val="22"/>
                <w:szCs w:val="22"/>
                <w:highlight w:val="none"/>
                <w:lang w:val="zh-CN" w:eastAsia="zh-CN"/>
              </w:rPr>
              <w:t>）</w:t>
            </w:r>
            <w:r>
              <w:rPr>
                <w:rFonts w:hint="eastAsia" w:ascii="Times New Roman" w:hAnsi="Times New Roman" w:eastAsia="仿宋" w:cs="Times New Roman"/>
                <w:sz w:val="22"/>
                <w:szCs w:val="22"/>
                <w:highlight w:val="none"/>
                <w:lang w:val="zh-CN" w:eastAsia="zh-CN"/>
              </w:rPr>
              <w:t>接受大中型企业与小型、微型企业组成联合体或者允许大中型企业向一家或多家小微企业分包的采购项目，对于联合体协议或分包意向协议约定小微企业的合同份额占到合同总金额30%以上的，应当对联合体或则大中型企业的报价给予</w:t>
            </w:r>
            <w:r>
              <w:rPr>
                <w:rFonts w:hint="eastAsia" w:ascii="Times New Roman" w:hAnsi="Times New Roman" w:eastAsia="仿宋" w:cs="Times New Roman"/>
                <w:sz w:val="22"/>
                <w:szCs w:val="22"/>
                <w:highlight w:val="none"/>
                <w:lang w:val="en-US" w:eastAsia="zh-CN"/>
              </w:rPr>
              <w:t>4</w:t>
            </w:r>
            <w:r>
              <w:rPr>
                <w:rFonts w:hint="eastAsia" w:ascii="Times New Roman" w:hAnsi="Times New Roman" w:eastAsia="仿宋" w:cs="Times New Roman"/>
                <w:sz w:val="22"/>
                <w:szCs w:val="22"/>
                <w:highlight w:val="none"/>
                <w:lang w:val="zh-CN" w:eastAsia="zh-CN"/>
              </w:rPr>
              <w:t>%的价格扣除；</w:t>
            </w:r>
            <w:r>
              <w:rPr>
                <w:rFonts w:hint="eastAsia" w:ascii="Times New Roman" w:hAnsi="Times New Roman" w:eastAsia="仿宋" w:cs="Times New Roman"/>
                <w:b w:val="0"/>
                <w:bCs w:val="0"/>
                <w:sz w:val="22"/>
                <w:szCs w:val="22"/>
                <w:highlight w:val="none"/>
                <w:lang w:val="zh-CN" w:eastAsia="zh-CN"/>
              </w:rPr>
              <w:t>以联合体形式参加政府采购活动，联合体各方均为中小企业的，联合体视同中小企业。其中，联合体各方均为小微企业的，联合体视同小微企业；</w:t>
            </w:r>
            <w:r>
              <w:rPr>
                <w:rFonts w:hint="eastAsia" w:ascii="Times New Roman" w:hAnsi="Times New Roman" w:eastAsia="仿宋" w:cs="Times New Roman"/>
                <w:b w:val="0"/>
                <w:bCs w:val="0"/>
                <w:kern w:val="0"/>
                <w:sz w:val="22"/>
                <w:szCs w:val="22"/>
                <w:highlight w:val="none"/>
                <w:lang w:val="zh-CN" w:eastAsia="zh-CN" w:bidi="ar-SA"/>
              </w:rPr>
              <w:t>组成联合体或者接受分包的小微企业与联合体内其他企业、分包企业之间存在直接控股、管理关系的，不享受价格扣除优惠政策；</w:t>
            </w:r>
          </w:p>
          <w:p w14:paraId="704690F6">
            <w:pPr>
              <w:pStyle w:val="46"/>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w:t>
            </w:r>
            <w:r>
              <w:rPr>
                <w:rFonts w:hint="eastAsia" w:ascii="Times New Roman" w:hAnsi="Times New Roman" w:eastAsia="仿宋" w:cs="Times New Roman"/>
                <w:b w:val="0"/>
                <w:bCs w:val="0"/>
                <w:kern w:val="0"/>
                <w:sz w:val="22"/>
                <w:szCs w:val="22"/>
                <w:highlight w:val="none"/>
                <w:lang w:val="en-US" w:eastAsia="zh-CN" w:bidi="ar-SA"/>
              </w:rPr>
              <w:t>5</w:t>
            </w:r>
            <w:r>
              <w:rPr>
                <w:rFonts w:hint="eastAsia" w:ascii="Times New Roman" w:hAnsi="Times New Roman" w:eastAsia="仿宋" w:cs="Times New Roman"/>
                <w:b w:val="0"/>
                <w:bCs w:val="0"/>
                <w:kern w:val="0"/>
                <w:sz w:val="22"/>
                <w:szCs w:val="22"/>
                <w:highlight w:val="none"/>
                <w:lang w:val="zh-CN" w:eastAsia="zh-CN" w:bidi="ar-SA"/>
              </w:rPr>
              <w:t>）符合中小企业划分标准的个体工商户，在政府采购活动中视同中小企业；</w:t>
            </w:r>
          </w:p>
          <w:p w14:paraId="5B5EF6BA">
            <w:pPr>
              <w:pStyle w:val="46"/>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b/>
                <w:bCs/>
                <w:kern w:val="0"/>
                <w:sz w:val="22"/>
                <w:szCs w:val="22"/>
                <w:highlight w:val="none"/>
                <w:lang w:val="zh-CN" w:eastAsia="zh-CN" w:bidi="ar-SA"/>
              </w:rPr>
            </w:pPr>
            <w:r>
              <w:rPr>
                <w:rFonts w:hint="eastAsia" w:ascii="Times New Roman" w:hAnsi="Times New Roman" w:eastAsia="仿宋" w:cs="Times New Roman"/>
                <w:b/>
                <w:bCs/>
                <w:kern w:val="0"/>
                <w:sz w:val="22"/>
                <w:szCs w:val="22"/>
                <w:highlight w:val="none"/>
                <w:lang w:val="en-US" w:eastAsia="zh-CN" w:bidi="ar-SA"/>
              </w:rPr>
              <w:t>注：①</w:t>
            </w:r>
            <w:r>
              <w:rPr>
                <w:rFonts w:hint="eastAsia" w:ascii="Times New Roman" w:hAnsi="Times New Roman" w:eastAsia="仿宋" w:cs="Times New Roman"/>
                <w:b/>
                <w:bCs/>
                <w:kern w:val="0"/>
                <w:sz w:val="22"/>
                <w:szCs w:val="22"/>
                <w:highlight w:val="none"/>
                <w:lang w:val="zh-CN" w:eastAsia="zh-CN" w:bidi="ar-SA"/>
              </w:rPr>
              <w:t>供应商提供的货物既有中小企业制造货物，也有大型企业制造货物的，不享受该办法规定的中小企业扶持政策；</w:t>
            </w:r>
          </w:p>
          <w:p w14:paraId="3480E546">
            <w:pPr>
              <w:pStyle w:val="46"/>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b/>
                <w:bCs/>
                <w:sz w:val="22"/>
                <w:szCs w:val="22"/>
                <w:highlight w:val="none"/>
                <w:lang w:val="zh-CN" w:eastAsia="zh-CN"/>
              </w:rPr>
            </w:pPr>
            <w:r>
              <w:rPr>
                <w:rFonts w:hint="eastAsia" w:ascii="Times New Roman" w:hAnsi="Times New Roman" w:eastAsia="仿宋" w:cs="Times New Roman"/>
                <w:b/>
                <w:bCs/>
                <w:sz w:val="22"/>
                <w:szCs w:val="22"/>
                <w:highlight w:val="none"/>
                <w:lang w:val="zh-CN" w:eastAsia="zh-CN"/>
              </w:rPr>
              <w:t>②若需提供《中小企业声明函》，应从货物的制造商处获得充分、准确的信息；若不能获得充分、准确的信息，则不建议提供《中小企业声明函》；</w:t>
            </w:r>
          </w:p>
          <w:p w14:paraId="3AF67E3C">
            <w:pPr>
              <w:pStyle w:val="46"/>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b/>
                <w:bCs/>
                <w:kern w:val="0"/>
                <w:sz w:val="22"/>
                <w:szCs w:val="22"/>
                <w:highlight w:val="none"/>
                <w:lang w:val="zh-CN" w:eastAsia="zh-CN" w:bidi="ar-SA"/>
              </w:rPr>
            </w:pPr>
            <w:r>
              <w:rPr>
                <w:rFonts w:hint="eastAsia" w:ascii="Times New Roman" w:hAnsi="Times New Roman" w:eastAsia="仿宋" w:cs="Times New Roman"/>
                <w:b/>
                <w:bCs/>
                <w:kern w:val="2"/>
                <w:sz w:val="22"/>
                <w:szCs w:val="22"/>
                <w:highlight w:val="none"/>
                <w:u w:val="none"/>
                <w:lang w:val="en-US" w:eastAsia="zh-CN" w:bidi="ar-SA"/>
              </w:rPr>
              <w:t>③本项目为货物采购，不对其中涉及的服务的承接商作出要求</w:t>
            </w:r>
          </w:p>
        </w:tc>
      </w:tr>
    </w:tbl>
    <w:p w14:paraId="388B387D">
      <w:pPr>
        <w:rPr>
          <w:rFonts w:ascii="Times New Roman" w:hAnsi="Times New Roman" w:eastAsia="仿宋" w:cs="Times New Roman"/>
          <w:b/>
          <w:sz w:val="28"/>
          <w:szCs w:val="28"/>
          <w:highlight w:val="none"/>
        </w:rPr>
      </w:pPr>
      <w:r>
        <w:rPr>
          <w:rFonts w:ascii="Times New Roman" w:hAnsi="Times New Roman" w:eastAsia="仿宋" w:cs="Times New Roman"/>
          <w:b/>
          <w:sz w:val="28"/>
          <w:szCs w:val="28"/>
          <w:highlight w:val="none"/>
        </w:rPr>
        <w:br w:type="page"/>
      </w:r>
    </w:p>
    <w:p w14:paraId="68982579">
      <w:pPr>
        <w:spacing w:line="500" w:lineRule="exact"/>
        <w:ind w:firstLine="562" w:firstLineChars="200"/>
        <w:jc w:val="center"/>
        <w:outlineLvl w:val="1"/>
        <w:rPr>
          <w:rFonts w:ascii="Times New Roman" w:hAnsi="Times New Roman" w:eastAsia="仿宋" w:cs="Times New Roman"/>
          <w:b/>
          <w:sz w:val="28"/>
          <w:szCs w:val="28"/>
          <w:highlight w:val="none"/>
        </w:rPr>
      </w:pPr>
      <w:r>
        <w:rPr>
          <w:rFonts w:ascii="Times New Roman" w:hAnsi="Times New Roman" w:eastAsia="仿宋" w:cs="Times New Roman"/>
          <w:b/>
          <w:sz w:val="28"/>
          <w:szCs w:val="28"/>
          <w:highlight w:val="none"/>
        </w:rPr>
        <w:t>二、总  则</w:t>
      </w:r>
    </w:p>
    <w:p w14:paraId="7DFC5BF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（一）适用范围</w:t>
      </w:r>
    </w:p>
    <w:p w14:paraId="28ADCD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1.</w:t>
      </w:r>
      <w:r>
        <w:rPr>
          <w:rFonts w:hint="eastAsia" w:ascii="Times New Roman" w:hAnsi="Times New Roman" w:eastAsia="仿宋" w:cs="Times New Roman"/>
          <w:sz w:val="24"/>
          <w:szCs w:val="24"/>
          <w:highlight w:val="none"/>
        </w:rPr>
        <w:t>本</w:t>
      </w:r>
      <w:r>
        <w:rPr>
          <w:rFonts w:hint="eastAsia" w:ascii="Times New Roman" w:hAnsi="Times New Roman" w:eastAsia="仿宋" w:cs="Times New Roman"/>
          <w:sz w:val="24"/>
          <w:szCs w:val="24"/>
          <w:highlight w:val="none"/>
          <w:lang w:eastAsia="zh-CN"/>
        </w:rPr>
        <w:t>磋商</w:t>
      </w:r>
      <w:r>
        <w:rPr>
          <w:rFonts w:hint="eastAsia" w:ascii="Times New Roman" w:hAnsi="Times New Roman" w:eastAsia="仿宋" w:cs="Times New Roman"/>
          <w:sz w:val="24"/>
          <w:szCs w:val="24"/>
          <w:highlight w:val="none"/>
        </w:rPr>
        <w:t>文件仅适用于本次</w:t>
      </w:r>
      <w:r>
        <w:rPr>
          <w:rFonts w:hint="eastAsia" w:ascii="Times New Roman" w:hAnsi="Times New Roman" w:eastAsia="仿宋" w:cs="Times New Roman"/>
          <w:sz w:val="24"/>
          <w:szCs w:val="24"/>
          <w:highlight w:val="none"/>
          <w:lang w:eastAsia="zh-CN"/>
        </w:rPr>
        <w:t>磋商</w:t>
      </w:r>
      <w:r>
        <w:rPr>
          <w:rFonts w:hint="eastAsia" w:ascii="Times New Roman" w:hAnsi="Times New Roman" w:eastAsia="仿宋" w:cs="Times New Roman"/>
          <w:sz w:val="24"/>
          <w:szCs w:val="24"/>
          <w:highlight w:val="none"/>
        </w:rPr>
        <w:t>采购项目。</w:t>
      </w:r>
    </w:p>
    <w:p w14:paraId="45CA1E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rPr>
      </w:pPr>
      <w:r>
        <w:rPr>
          <w:rFonts w:hint="eastAsia" w:ascii="Times New Roman" w:hAnsi="Times New Roman" w:eastAsia="仿宋" w:cs="Times New Roman"/>
          <w:sz w:val="24"/>
          <w:szCs w:val="24"/>
          <w:highlight w:val="none"/>
          <w:lang w:val="en-US" w:eastAsia="zh-CN"/>
        </w:rPr>
        <w:t>2.</w:t>
      </w:r>
      <w:r>
        <w:rPr>
          <w:rFonts w:hint="eastAsia" w:ascii="Times New Roman" w:hAnsi="Times New Roman" w:eastAsia="仿宋" w:cs="Times New Roman"/>
          <w:sz w:val="24"/>
          <w:szCs w:val="24"/>
          <w:highlight w:val="none"/>
        </w:rPr>
        <w:t>本</w:t>
      </w:r>
      <w:r>
        <w:rPr>
          <w:rFonts w:hint="eastAsia" w:ascii="Times New Roman" w:hAnsi="Times New Roman" w:eastAsia="仿宋" w:cs="Times New Roman"/>
          <w:sz w:val="24"/>
          <w:szCs w:val="24"/>
          <w:highlight w:val="none"/>
          <w:lang w:eastAsia="zh-CN"/>
        </w:rPr>
        <w:t>磋商</w:t>
      </w:r>
      <w:r>
        <w:rPr>
          <w:rFonts w:hint="eastAsia" w:ascii="Times New Roman" w:hAnsi="Times New Roman" w:eastAsia="仿宋" w:cs="Times New Roman"/>
          <w:sz w:val="24"/>
          <w:szCs w:val="24"/>
          <w:highlight w:val="none"/>
        </w:rPr>
        <w:t>文件的解释权归采购人和采购代理机构所有。</w:t>
      </w:r>
    </w:p>
    <w:p w14:paraId="54C599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（二）</w:t>
      </w:r>
      <w:r>
        <w:rPr>
          <w:rFonts w:hint="eastAsia" w:ascii="Times New Roman" w:hAnsi="Times New Roman" w:eastAsia="仿宋" w:cs="Times New Roman"/>
          <w:b/>
          <w:sz w:val="24"/>
          <w:szCs w:val="24"/>
          <w:highlight w:val="none"/>
        </w:rPr>
        <w:t>采购主体</w:t>
      </w:r>
    </w:p>
    <w:p w14:paraId="23F025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1.“采购人”系指成都市技师学院（成都工贸职业技术学院）。</w:t>
      </w:r>
    </w:p>
    <w:p w14:paraId="306DDA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2.“采购代理机构”系指恒泰工程咨询集团有限公司。</w:t>
      </w:r>
    </w:p>
    <w:p w14:paraId="28298F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3.“采购单位”系指“采购人”和“采购代理机构”的统称。</w:t>
      </w:r>
    </w:p>
    <w:p w14:paraId="0D4CD59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eastAsia="仿宋"/>
          <w:highlight w:val="none"/>
          <w:lang w:val="en-US" w:eastAsia="zh-CN"/>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三</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有关定义</w:t>
      </w:r>
    </w:p>
    <w:p w14:paraId="225EB3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1.磋商文件所称的“以上”、“以下”、“以内”、“届满”，包括本数；所称的“不满”、“超过”、“以外”，不包括本数。</w:t>
      </w:r>
    </w:p>
    <w:p w14:paraId="75D22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2.磋商文件要求供应商提供原件资料的，文件均以“原件”字样作以标注；未作“原件”标注的，提供的资料可使用原件的复印件或影印件。</w:t>
      </w:r>
    </w:p>
    <w:p w14:paraId="130B4C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本磋商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36A33E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四</w:t>
      </w:r>
      <w:r>
        <w:rPr>
          <w:rFonts w:ascii="Times New Roman" w:hAnsi="Times New Roman" w:eastAsia="仿宋" w:cs="Times New Roman"/>
          <w:b/>
          <w:sz w:val="24"/>
          <w:szCs w:val="24"/>
          <w:highlight w:val="none"/>
        </w:rPr>
        <w:t>）合格的</w:t>
      </w:r>
      <w:r>
        <w:rPr>
          <w:rFonts w:hint="eastAsia" w:ascii="Times New Roman" w:hAnsi="Times New Roman" w:eastAsia="仿宋" w:cs="Times New Roman"/>
          <w:b/>
          <w:sz w:val="24"/>
          <w:szCs w:val="24"/>
          <w:highlight w:val="none"/>
          <w:lang w:eastAsia="zh-CN"/>
        </w:rPr>
        <w:t>供应商（实质性要求）</w:t>
      </w:r>
    </w:p>
    <w:p w14:paraId="049FF6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1.具备法律法规和本磋商文件规定的资格条件；</w:t>
      </w:r>
    </w:p>
    <w:p w14:paraId="4D3E07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2.不属于禁止参加本项目采购活动的供应商；</w:t>
      </w:r>
    </w:p>
    <w:p w14:paraId="04E2B0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eastAsia="zh-CN"/>
        </w:rPr>
      </w:pPr>
      <w:r>
        <w:rPr>
          <w:rFonts w:hint="eastAsia" w:ascii="Times New Roman" w:hAnsi="Times New Roman" w:eastAsia="仿宋" w:cs="Times New Roman"/>
          <w:sz w:val="24"/>
          <w:szCs w:val="24"/>
          <w:highlight w:val="none"/>
          <w:lang w:val="en-US" w:eastAsia="zh-CN"/>
        </w:rPr>
        <w:t>3.按照规定获取了磋商文件。</w:t>
      </w:r>
    </w:p>
    <w:p w14:paraId="323F2FB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五</w:t>
      </w:r>
      <w:r>
        <w:rPr>
          <w:rFonts w:ascii="Times New Roman" w:hAnsi="Times New Roman" w:eastAsia="仿宋" w:cs="Times New Roman"/>
          <w:b/>
          <w:sz w:val="24"/>
          <w:szCs w:val="24"/>
          <w:highlight w:val="none"/>
        </w:rPr>
        <w:t>）参与</w:t>
      </w:r>
      <w:r>
        <w:rPr>
          <w:rFonts w:hint="eastAsia" w:ascii="Times New Roman" w:hAnsi="Times New Roman" w:eastAsia="仿宋" w:cs="Times New Roman"/>
          <w:b/>
          <w:sz w:val="24"/>
          <w:szCs w:val="24"/>
          <w:highlight w:val="none"/>
          <w:lang w:val="en-US" w:eastAsia="zh-CN"/>
        </w:rPr>
        <w:t>磋商</w:t>
      </w:r>
      <w:r>
        <w:rPr>
          <w:rFonts w:ascii="Times New Roman" w:hAnsi="Times New Roman" w:eastAsia="仿宋" w:cs="Times New Roman"/>
          <w:b/>
          <w:sz w:val="24"/>
          <w:szCs w:val="24"/>
          <w:highlight w:val="none"/>
        </w:rPr>
        <w:t>的费用</w:t>
      </w:r>
      <w:r>
        <w:rPr>
          <w:rFonts w:hint="eastAsia" w:ascii="Times New Roman" w:hAnsi="Times New Roman" w:eastAsia="仿宋" w:cs="Times New Roman"/>
          <w:b/>
          <w:sz w:val="24"/>
          <w:szCs w:val="24"/>
          <w:highlight w:val="none"/>
          <w:lang w:eastAsia="zh-CN"/>
        </w:rPr>
        <w:t>（实质性要求）</w:t>
      </w:r>
    </w:p>
    <w:p w14:paraId="4C15ED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供应商应自行承担参加磋商活动的一切费用。</w:t>
      </w:r>
    </w:p>
    <w:p w14:paraId="50278C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六</w:t>
      </w:r>
      <w:r>
        <w:rPr>
          <w:rFonts w:ascii="Times New Roman" w:hAnsi="Times New Roman" w:eastAsia="仿宋" w:cs="Times New Roman"/>
          <w:b/>
          <w:sz w:val="24"/>
          <w:szCs w:val="24"/>
          <w:highlight w:val="none"/>
        </w:rPr>
        <w:t>）充分、公平竞争保障措施</w:t>
      </w:r>
      <w:r>
        <w:rPr>
          <w:rFonts w:hint="eastAsia" w:ascii="Times New Roman" w:hAnsi="Times New Roman" w:eastAsia="仿宋" w:cs="Times New Roman"/>
          <w:b/>
          <w:sz w:val="24"/>
          <w:szCs w:val="24"/>
          <w:highlight w:val="none"/>
        </w:rPr>
        <w:t>（实质性要求）</w:t>
      </w:r>
    </w:p>
    <w:p w14:paraId="2DE983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r>
        <w:rPr>
          <w:rFonts w:hint="eastAsia" w:ascii="Times New Roman" w:hAnsi="Times New Roman" w:eastAsia="仿宋" w:cs="Times New Roman"/>
          <w:b/>
          <w:bCs/>
          <w:sz w:val="24"/>
          <w:szCs w:val="24"/>
          <w:highlight w:val="none"/>
          <w:lang w:val="en-US" w:eastAsia="zh-CN"/>
        </w:rPr>
        <w:t>利害关系供应商处理。</w:t>
      </w:r>
      <w:r>
        <w:rPr>
          <w:rFonts w:hint="eastAsia" w:ascii="Times New Roman" w:hAnsi="Times New Roman" w:eastAsia="仿宋" w:cs="Times New Roman"/>
          <w:sz w:val="24"/>
          <w:szCs w:val="24"/>
          <w:highlight w:val="none"/>
          <w:lang w:val="en-US" w:eastAsia="zh-CN"/>
        </w:rPr>
        <w:t>单位负责人为同一人或者存在直接控股、管理关系的不同供应商不得参加同一合同项下的采购活动。</w:t>
      </w:r>
    </w:p>
    <w:p w14:paraId="142BFC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r>
        <w:rPr>
          <w:rFonts w:hint="eastAsia" w:ascii="Times New Roman" w:hAnsi="Times New Roman" w:eastAsia="仿宋" w:cs="Times New Roman"/>
          <w:b/>
          <w:bCs/>
          <w:sz w:val="24"/>
          <w:szCs w:val="24"/>
          <w:highlight w:val="none"/>
          <w:lang w:val="en-US" w:eastAsia="zh-CN"/>
        </w:rPr>
        <w:t>利害关系授权代表处理。</w:t>
      </w:r>
      <w:r>
        <w:rPr>
          <w:rFonts w:hint="eastAsia" w:ascii="Times New Roman" w:hAnsi="Times New Roman" w:eastAsia="仿宋" w:cs="Times New Roman"/>
          <w:sz w:val="24"/>
          <w:szCs w:val="24"/>
          <w:highlight w:val="none"/>
          <w:lang w:val="en-US" w:eastAsia="zh-CN"/>
        </w:rPr>
        <w:t>两家以上的供应商不得在同一合同项下的采购项目中，委托同一个自然人、同一家庭的人员、同一单位的人员作为其授权代表，否则，其响应文件作为无效处理。</w:t>
      </w:r>
    </w:p>
    <w:p w14:paraId="0F7FAE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w:t>
      </w:r>
      <w:r>
        <w:rPr>
          <w:rFonts w:hint="eastAsia" w:ascii="Times New Roman" w:hAnsi="Times New Roman" w:eastAsia="仿宋" w:cs="Times New Roman"/>
          <w:b/>
          <w:bCs/>
          <w:sz w:val="24"/>
          <w:szCs w:val="24"/>
          <w:highlight w:val="none"/>
          <w:lang w:val="en-US" w:eastAsia="zh-CN"/>
        </w:rPr>
        <w:t>前期参与供应商处理。</w:t>
      </w:r>
      <w:r>
        <w:rPr>
          <w:rFonts w:hint="eastAsia" w:ascii="Times New Roman" w:hAnsi="Times New Roman" w:eastAsia="仿宋" w:cs="Times New Roman"/>
          <w:sz w:val="24"/>
          <w:szCs w:val="24"/>
          <w:highlight w:val="none"/>
          <w:lang w:val="en-US" w:eastAsia="zh-CN"/>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480688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4.供应商实际控制人或者中高级管理人员，同时是采购代理机构工作人员，不得参与本项目采购活动。</w:t>
      </w:r>
    </w:p>
    <w:p w14:paraId="2BE505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5.同一母公司的两家以上的子公司只能组成联合体参加本项目同一合同项下的采购活动，不得以不同供应商身份同时参加本项目同一合同项下的采购活动。</w:t>
      </w:r>
    </w:p>
    <w:p w14:paraId="23AB0B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6.供应商与采购代理机构存在关联关系，或者是采购代理机构的母公司或子公司，不得参加本项目采购活动。</w:t>
      </w:r>
    </w:p>
    <w:p w14:paraId="4B1061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7.回避。采购活动中，采购人员及相关人员与供应商有下列利害关系之一的，应当回避：</w:t>
      </w:r>
    </w:p>
    <w:p w14:paraId="0A3C42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（1）参加采购活动前3年内与供应商存在劳动关系；</w:t>
      </w:r>
    </w:p>
    <w:p w14:paraId="6CDE11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（2）参加采购活动前3年内担任供应商的董事、监事；</w:t>
      </w:r>
    </w:p>
    <w:p w14:paraId="006D98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（3）参加采购活动前3年内是供应商的控股股东或者实际控制人；</w:t>
      </w:r>
    </w:p>
    <w:p w14:paraId="2432E4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（4）与供应商的法定代表人或者负责人有夫妻、直系血亲、三代以内旁系血亲或者近姻亲关系；</w:t>
      </w:r>
    </w:p>
    <w:p w14:paraId="116B97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（5）与供应商有其他可能影响采购活动公平、公正进行的关系。</w:t>
      </w:r>
    </w:p>
    <w:p w14:paraId="384374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本项目采购活动中需要依法回避的相关人员是指磋商小组成员。</w:t>
      </w:r>
    </w:p>
    <w:p w14:paraId="76D0D1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eastAsia="仿宋"/>
          <w:b/>
          <w:sz w:val="24"/>
          <w:highlight w:val="none"/>
        </w:rPr>
      </w:pPr>
      <w:r>
        <w:rPr>
          <w:rFonts w:hint="eastAsia" w:ascii="Times New Roman" w:hAnsi="Times New Roman" w:eastAsia="仿宋" w:cs="Times New Roman"/>
          <w:sz w:val="24"/>
          <w:szCs w:val="24"/>
          <w:highlight w:val="none"/>
          <w:lang w:val="en-US" w:eastAsia="zh-CN"/>
        </w:rPr>
        <w:t>供应商认为采购人员及相关人员与其他供应商有利害关系的，可以向采购代理机构书面提出回避申请，并说明理由。采购代理机构将及时询问被申请回避人员，有利害关系的被申请回避人员应当回避。</w:t>
      </w:r>
    </w:p>
    <w:p w14:paraId="66B36C87">
      <w:pPr>
        <w:pageBreakBefore w:val="0"/>
        <w:widowControl w:val="0"/>
        <w:kinsoku/>
        <w:wordWrap/>
        <w:overflowPunct/>
        <w:topLinePunct w:val="0"/>
        <w:autoSpaceDE/>
        <w:autoSpaceDN/>
        <w:bidi w:val="0"/>
        <w:snapToGrid/>
        <w:spacing w:line="360" w:lineRule="auto"/>
        <w:ind w:firstLine="482" w:firstLineChars="200"/>
        <w:outlineLvl w:val="2"/>
        <w:rPr>
          <w:rFonts w:eastAsia="仿宋"/>
          <w:b/>
          <w:sz w:val="24"/>
          <w:highlight w:val="none"/>
        </w:rPr>
      </w:pPr>
      <w:r>
        <w:rPr>
          <w:rFonts w:eastAsia="仿宋"/>
          <w:b/>
          <w:sz w:val="24"/>
          <w:highlight w:val="none"/>
        </w:rPr>
        <w:t>（</w:t>
      </w:r>
      <w:r>
        <w:rPr>
          <w:rFonts w:hint="eastAsia" w:eastAsia="仿宋"/>
          <w:b/>
          <w:sz w:val="24"/>
          <w:highlight w:val="none"/>
          <w:lang w:eastAsia="zh-CN"/>
        </w:rPr>
        <w:t>七</w:t>
      </w:r>
      <w:r>
        <w:rPr>
          <w:rFonts w:eastAsia="仿宋"/>
          <w:b/>
          <w:sz w:val="24"/>
          <w:highlight w:val="none"/>
        </w:rPr>
        <w:t>）联合体响应</w:t>
      </w:r>
      <w:r>
        <w:rPr>
          <w:rFonts w:hint="eastAsia" w:ascii="仿宋" w:hAnsi="仿宋" w:eastAsia="仿宋"/>
          <w:b/>
          <w:sz w:val="24"/>
          <w:highlight w:val="none"/>
        </w:rPr>
        <w:t>（实质性要求）</w:t>
      </w:r>
    </w:p>
    <w:p w14:paraId="7FDA32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1.本项目是否接受联合体响应，以“供应商须知附表”为准。</w:t>
      </w:r>
    </w:p>
    <w:p w14:paraId="70C8E2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r>
        <w:rPr>
          <w:rFonts w:eastAsia="仿宋"/>
          <w:b/>
          <w:sz w:val="24"/>
          <w:highlight w:val="none"/>
        </w:rPr>
        <w:t>（</w:t>
      </w:r>
      <w:r>
        <w:rPr>
          <w:rFonts w:hint="eastAsia" w:eastAsia="仿宋"/>
          <w:b/>
          <w:sz w:val="24"/>
          <w:highlight w:val="none"/>
          <w:lang w:eastAsia="zh-CN"/>
        </w:rPr>
        <w:t>以下</w:t>
      </w:r>
      <w:r>
        <w:rPr>
          <w:rFonts w:hint="eastAsia" w:eastAsia="仿宋"/>
          <w:b/>
          <w:sz w:val="24"/>
          <w:highlight w:val="none"/>
          <w:lang w:val="en-US" w:eastAsia="zh-CN"/>
        </w:rPr>
        <w:t>仅适用</w:t>
      </w:r>
      <w:r>
        <w:rPr>
          <w:rFonts w:eastAsia="仿宋"/>
          <w:b/>
          <w:sz w:val="24"/>
          <w:highlight w:val="none"/>
        </w:rPr>
        <w:t>接受联合体响应</w:t>
      </w:r>
      <w:r>
        <w:rPr>
          <w:rFonts w:hint="eastAsia" w:eastAsia="仿宋"/>
          <w:b/>
          <w:sz w:val="24"/>
          <w:highlight w:val="none"/>
          <w:lang w:val="en-US" w:eastAsia="zh-CN"/>
        </w:rPr>
        <w:t>的情形</w:t>
      </w:r>
      <w:r>
        <w:rPr>
          <w:rFonts w:eastAsia="仿宋"/>
          <w:b/>
          <w:sz w:val="24"/>
          <w:highlight w:val="none"/>
        </w:rPr>
        <w:t>）</w:t>
      </w:r>
      <w:r>
        <w:rPr>
          <w:rFonts w:hint="eastAsia" w:ascii="Times New Roman" w:hAnsi="Times New Roman" w:eastAsia="仿宋" w:cs="Times New Roman"/>
          <w:sz w:val="24"/>
          <w:szCs w:val="24"/>
          <w:highlight w:val="none"/>
          <w:lang w:val="en-US" w:eastAsia="zh-CN"/>
        </w:rPr>
        <w:t>两个以上供应商可以组成一个联合体竞争性磋商，以一个供应商的身份竞争性磋商。以联合体形式参加竞争性磋商的，联合体各方均应当符合《中华人民共和国政府采购法》第二十二条规定的条件。</w:t>
      </w:r>
    </w:p>
    <w:p w14:paraId="2A3E97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3.联合体各方之间应当签订联合体竞争性磋商协议，明确约定联合体各方承担的工作和相应的责任。联合体参与竞争性磋商的，应在响应文件中提供联合体协议。</w:t>
      </w:r>
    </w:p>
    <w:p w14:paraId="2610C4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4.联合体应当确定其中一个单位为竞争性磋商的全权代表，负责参加竞争性磋商的一切事务。</w:t>
      </w:r>
    </w:p>
    <w:p w14:paraId="7290E5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5.联合体各方应当共同与采购人签订采购合同，就采购合同约定的事项对采购人承担连带责任。</w:t>
      </w:r>
    </w:p>
    <w:p w14:paraId="062F67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6.联合体中有同类资质的供应商按照联合体分工承担相同工作的，将按照资质等级较低的供应商确定资质等级。</w:t>
      </w:r>
    </w:p>
    <w:p w14:paraId="3D2603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rPr>
      </w:pPr>
      <w:r>
        <w:rPr>
          <w:rFonts w:hint="eastAsia" w:ascii="Times New Roman" w:hAnsi="Times New Roman" w:eastAsia="仿宋" w:cs="Times New Roman"/>
          <w:sz w:val="24"/>
          <w:szCs w:val="24"/>
          <w:highlight w:val="none"/>
          <w:lang w:val="en-US" w:eastAsia="zh-CN"/>
        </w:rPr>
        <w:t>7.以联合体形式参加采购活动的，联合体各方不得再单独参加或者与其他供应商另外组成联合体参加同一合同项下的采购活动。</w:t>
      </w:r>
    </w:p>
    <w:p w14:paraId="22476C76">
      <w:pPr>
        <w:pageBreakBefore w:val="0"/>
        <w:widowControl w:val="0"/>
        <w:kinsoku/>
        <w:wordWrap/>
        <w:overflowPunct/>
        <w:topLinePunct w:val="0"/>
        <w:autoSpaceDE/>
        <w:autoSpaceDN/>
        <w:bidi w:val="0"/>
        <w:snapToGrid/>
        <w:spacing w:line="360" w:lineRule="auto"/>
        <w:ind w:firstLine="482" w:firstLineChars="200"/>
        <w:outlineLvl w:val="2"/>
        <w:rPr>
          <w:rFonts w:hint="eastAsia" w:eastAsia="仿宋"/>
          <w:b/>
          <w:sz w:val="24"/>
          <w:highlight w:val="none"/>
          <w:lang w:val="en-US" w:eastAsia="zh-CN"/>
        </w:rPr>
      </w:pPr>
      <w:r>
        <w:rPr>
          <w:rFonts w:hint="eastAsia" w:eastAsia="仿宋"/>
          <w:b/>
          <w:sz w:val="24"/>
          <w:highlight w:val="none"/>
          <w:lang w:val="en-US" w:eastAsia="zh-CN"/>
        </w:rPr>
        <w:t>（八）磋商保证金</w:t>
      </w:r>
      <w:r>
        <w:rPr>
          <w:rFonts w:hint="eastAsia" w:eastAsia="仿宋"/>
          <w:b/>
          <w:sz w:val="24"/>
          <w:highlight w:val="none"/>
        </w:rPr>
        <w:t>（实质性要求）</w:t>
      </w:r>
    </w:p>
    <w:p w14:paraId="66FF74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1.本项目是否交纳磋商保证金，以“供应商须知附表”为准。</w:t>
      </w:r>
    </w:p>
    <w:p w14:paraId="67F55B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r>
        <w:rPr>
          <w:rFonts w:hint="eastAsia" w:eastAsia="仿宋"/>
          <w:b/>
          <w:sz w:val="24"/>
          <w:highlight w:val="none"/>
          <w:lang w:val="en-US" w:eastAsia="zh-CN"/>
        </w:rPr>
        <w:t>（以下仅适用于交纳保证金的情形</w:t>
      </w:r>
      <w:r>
        <w:rPr>
          <w:rFonts w:hint="eastAsia" w:ascii="Times New Roman" w:hAnsi="Times New Roman" w:eastAsia="仿宋" w:cs="Times New Roman"/>
          <w:sz w:val="24"/>
          <w:szCs w:val="24"/>
          <w:highlight w:val="none"/>
          <w:lang w:val="en-US" w:eastAsia="zh-CN"/>
        </w:rPr>
        <w:t>）供应商应以人民币按磋商文件要求足额缴纳磋商保证金。联合体磋商的，可以由联合体的一方或者共同提交磋商保证金，以一方名义提交磋商保证金的，对联合体各方均具有约束力。</w:t>
      </w:r>
    </w:p>
    <w:p w14:paraId="5A518F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3.未按磋商文件要求在规定时间前交纳规定数额磋商保证金的响应文件无效。</w:t>
      </w:r>
    </w:p>
    <w:p w14:paraId="61D22B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4.供应商所交纳的磋商保证金不计利息。</w:t>
      </w:r>
    </w:p>
    <w:p w14:paraId="6BBE8F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5.发生下列情形之一的，采购代理机构将不予退还磋商保证金：</w:t>
      </w:r>
    </w:p>
    <w:p w14:paraId="2B08CB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（1）在磋商文件规定的提交响应文件截止时间后撤回响应文件的；</w:t>
      </w:r>
    </w:p>
    <w:p w14:paraId="40B490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（2）在采购人确定成交供应商之前放弃成交候选资格的；</w:t>
      </w:r>
    </w:p>
    <w:p w14:paraId="2D7D2C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（3）成交后放弃、不领取或者不接收成交通知书的；</w:t>
      </w:r>
    </w:p>
    <w:p w14:paraId="42353B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（4）由于成交供应商的原因未能按照磋商文件的规定与采购人签订合同的；</w:t>
      </w:r>
    </w:p>
    <w:p w14:paraId="59C370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（5）由于成交供应商的原因未能按照磋商文件的规定交纳履约保证金的；</w:t>
      </w:r>
    </w:p>
    <w:p w14:paraId="4CBFCB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（6）供应商在采购活动中提供虚假材料的；</w:t>
      </w:r>
    </w:p>
    <w:p w14:paraId="34154B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（7）报价有效期内，供应商在采购活动中有违法、违规、违纪行为。</w:t>
      </w:r>
    </w:p>
    <w:p w14:paraId="4703E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（8）磋商文件规定的其他不予退还磋商保证金的情形。</w:t>
      </w:r>
    </w:p>
    <w:p w14:paraId="519322D1">
      <w:pPr>
        <w:pageBreakBefore w:val="0"/>
        <w:widowControl w:val="0"/>
        <w:kinsoku/>
        <w:wordWrap/>
        <w:overflowPunct/>
        <w:topLinePunct w:val="0"/>
        <w:autoSpaceDE/>
        <w:autoSpaceDN/>
        <w:bidi w:val="0"/>
        <w:snapToGrid/>
        <w:spacing w:line="360" w:lineRule="auto"/>
        <w:ind w:firstLine="562" w:firstLineChars="200"/>
        <w:jc w:val="center"/>
        <w:outlineLvl w:val="1"/>
        <w:rPr>
          <w:rFonts w:ascii="Times New Roman" w:hAnsi="Times New Roman" w:eastAsia="仿宋" w:cs="Times New Roman"/>
          <w:b/>
          <w:sz w:val="28"/>
          <w:szCs w:val="28"/>
          <w:highlight w:val="none"/>
        </w:rPr>
      </w:pPr>
      <w:r>
        <w:rPr>
          <w:rFonts w:ascii="Times New Roman" w:hAnsi="Times New Roman" w:eastAsia="仿宋" w:cs="Times New Roman"/>
          <w:b/>
          <w:sz w:val="28"/>
          <w:szCs w:val="28"/>
          <w:highlight w:val="none"/>
        </w:rPr>
        <w:t>三、</w:t>
      </w:r>
      <w:r>
        <w:rPr>
          <w:rFonts w:hint="eastAsia" w:ascii="Times New Roman" w:hAnsi="Times New Roman" w:eastAsia="仿宋" w:cs="Times New Roman"/>
          <w:b/>
          <w:sz w:val="28"/>
          <w:szCs w:val="28"/>
          <w:highlight w:val="none"/>
          <w:lang w:eastAsia="zh-CN"/>
        </w:rPr>
        <w:t>磋商</w:t>
      </w:r>
      <w:r>
        <w:rPr>
          <w:rFonts w:ascii="Times New Roman" w:hAnsi="Times New Roman" w:eastAsia="仿宋" w:cs="Times New Roman"/>
          <w:b/>
          <w:sz w:val="28"/>
          <w:szCs w:val="28"/>
          <w:highlight w:val="none"/>
        </w:rPr>
        <w:t>文件</w:t>
      </w:r>
    </w:p>
    <w:p w14:paraId="57A9C4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（一）磋商文件的构成</w:t>
      </w:r>
    </w:p>
    <w:p w14:paraId="6B7BC8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1.磋商文件是供应商准备响应文件和参加磋商的依据，同时也是磋商的重要依据。磋商文件用以阐明磋商项目所需的资质、技术、服务及报价等要求、磋商程序、有关规定和注意事项以及合同主要条款等。</w:t>
      </w:r>
    </w:p>
    <w:p w14:paraId="62AA6D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9" w:name="_Toc183582211"/>
      <w:bookmarkStart w:id="10" w:name="_Toc183682348"/>
      <w:bookmarkStart w:id="11" w:name="_Toc217446040"/>
    </w:p>
    <w:p w14:paraId="76E8D4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（二）磋商文件的澄清</w:t>
      </w:r>
      <w:bookmarkEnd w:id="9"/>
      <w:bookmarkEnd w:id="10"/>
      <w:r>
        <w:rPr>
          <w:rFonts w:hint="eastAsia" w:ascii="Times New Roman" w:hAnsi="Times New Roman" w:eastAsia="仿宋" w:cs="Times New Roman"/>
          <w:b/>
          <w:sz w:val="24"/>
          <w:szCs w:val="24"/>
          <w:highlight w:val="none"/>
          <w:lang w:val="en-US" w:eastAsia="zh-CN"/>
        </w:rPr>
        <w:t>和修改</w:t>
      </w:r>
      <w:bookmarkEnd w:id="11"/>
    </w:p>
    <w:p w14:paraId="7F4F59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bookmarkStart w:id="12" w:name="_Toc208848971"/>
      <w:bookmarkStart w:id="13" w:name="_Toc217446041"/>
      <w:r>
        <w:rPr>
          <w:rFonts w:hint="eastAsia" w:ascii="Times New Roman" w:hAnsi="Times New Roman" w:eastAsia="仿宋" w:cs="Times New Roman"/>
          <w:sz w:val="24"/>
          <w:szCs w:val="24"/>
          <w:highlight w:val="none"/>
          <w:lang w:val="en-US" w:eastAsia="zh-CN"/>
        </w:rPr>
        <w:t>1.在提交首次响应文件截止时间前，采购人、采购代理机构可以对磋商文件进行澄清或者修改。</w:t>
      </w:r>
    </w:p>
    <w:p w14:paraId="056C0E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2.采购代理机构对已发出的磋商文件进行澄清或者修改，采购代理机构将在网上发布更正公告。</w:t>
      </w:r>
    </w:p>
    <w:p w14:paraId="263473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供应商应于提交响应文件截止前，在网上关注本项目的更正公告，以保证其对磋商文件做出正确的响应。供应商未按要求下载相关文件，或由于未及时关注更正公告的信息造成的后果，其责任由供应商自行负责。</w:t>
      </w:r>
    </w:p>
    <w:p w14:paraId="35C7A22E">
      <w:pPr>
        <w:pStyle w:val="4"/>
        <w:keepNext w:val="0"/>
        <w:keepLines w:val="0"/>
        <w:pageBreakBefore w:val="0"/>
        <w:widowControl w:val="0"/>
        <w:kinsoku/>
        <w:wordWrap/>
        <w:overflowPunct/>
        <w:topLinePunct w:val="0"/>
        <w:autoSpaceDE/>
        <w:autoSpaceDN/>
        <w:bidi w:val="0"/>
        <w:snapToGrid/>
        <w:spacing w:before="0" w:after="0" w:line="360" w:lineRule="auto"/>
        <w:ind w:firstLine="482" w:firstLineChars="200"/>
        <w:rPr>
          <w:rFonts w:hint="eastAsia" w:ascii="仿宋" w:hAnsi="仿宋" w:eastAsia="仿宋"/>
          <w:sz w:val="24"/>
          <w:highlight w:val="none"/>
        </w:rPr>
      </w:pPr>
      <w:r>
        <w:rPr>
          <w:rFonts w:hint="eastAsia" w:ascii="Times New Roman" w:hAnsi="Times New Roman" w:eastAsia="仿宋" w:cs="Times New Roman"/>
          <w:b/>
          <w:sz w:val="24"/>
          <w:szCs w:val="24"/>
          <w:highlight w:val="none"/>
          <w:lang w:val="en-US" w:eastAsia="zh-CN"/>
        </w:rPr>
        <w:t>（</w:t>
      </w:r>
      <w:r>
        <w:rPr>
          <w:rFonts w:hint="eastAsia" w:eastAsia="仿宋" w:cs="Times New Roman"/>
          <w:b/>
          <w:sz w:val="24"/>
          <w:szCs w:val="24"/>
          <w:highlight w:val="none"/>
          <w:lang w:val="en-US" w:eastAsia="zh-CN"/>
        </w:rPr>
        <w:t>三</w:t>
      </w:r>
      <w:r>
        <w:rPr>
          <w:rFonts w:hint="eastAsia" w:ascii="Times New Roman" w:hAnsi="Times New Roman" w:eastAsia="仿宋" w:cs="Times New Roman"/>
          <w:b/>
          <w:sz w:val="24"/>
          <w:szCs w:val="24"/>
          <w:highlight w:val="none"/>
          <w:lang w:val="en-US" w:eastAsia="zh-CN"/>
        </w:rPr>
        <w:t>）</w:t>
      </w:r>
      <w:r>
        <w:rPr>
          <w:rFonts w:hint="eastAsia" w:ascii="仿宋" w:hAnsi="仿宋" w:eastAsia="仿宋"/>
          <w:sz w:val="24"/>
          <w:highlight w:val="none"/>
        </w:rPr>
        <w:t>答疑会和现场考察</w:t>
      </w:r>
      <w:bookmarkEnd w:id="12"/>
      <w:bookmarkEnd w:id="13"/>
    </w:p>
    <w:p w14:paraId="1AA191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1.本项目现场答疑考察与否，以“供应商须知附表”为准。</w:t>
      </w:r>
    </w:p>
    <w:p w14:paraId="6CDB67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r>
        <w:rPr>
          <w:rFonts w:eastAsia="仿宋"/>
          <w:b/>
          <w:bCs w:val="0"/>
          <w:sz w:val="24"/>
          <w:highlight w:val="none"/>
        </w:rPr>
        <w:t>（</w:t>
      </w:r>
      <w:r>
        <w:rPr>
          <w:rFonts w:hint="eastAsia" w:eastAsia="仿宋"/>
          <w:b/>
          <w:bCs w:val="0"/>
          <w:sz w:val="24"/>
          <w:highlight w:val="none"/>
          <w:lang w:eastAsia="zh-CN"/>
        </w:rPr>
        <w:t>以下</w:t>
      </w:r>
      <w:r>
        <w:rPr>
          <w:rFonts w:hint="eastAsia" w:eastAsia="仿宋"/>
          <w:b/>
          <w:bCs w:val="0"/>
          <w:sz w:val="24"/>
          <w:highlight w:val="none"/>
          <w:lang w:val="en-US" w:eastAsia="zh-CN"/>
        </w:rPr>
        <w:t>仅适用</w:t>
      </w:r>
      <w:r>
        <w:rPr>
          <w:rFonts w:hint="eastAsia" w:eastAsia="仿宋"/>
          <w:b/>
          <w:bCs w:val="0"/>
          <w:sz w:val="24"/>
          <w:highlight w:val="none"/>
          <w:lang w:eastAsia="zh-CN"/>
        </w:rPr>
        <w:t>接受</w:t>
      </w:r>
      <w:r>
        <w:rPr>
          <w:rFonts w:hint="eastAsia" w:ascii="Times New Roman" w:hAnsi="Times New Roman" w:eastAsia="仿宋" w:cs="Times New Roman"/>
          <w:b/>
          <w:bCs w:val="0"/>
          <w:sz w:val="24"/>
          <w:szCs w:val="24"/>
          <w:highlight w:val="none"/>
          <w:lang w:val="en-US" w:eastAsia="zh-CN"/>
        </w:rPr>
        <w:t>现场答疑考察</w:t>
      </w:r>
      <w:r>
        <w:rPr>
          <w:rFonts w:hint="eastAsia" w:eastAsia="仿宋"/>
          <w:b/>
          <w:bCs w:val="0"/>
          <w:sz w:val="24"/>
          <w:highlight w:val="none"/>
          <w:lang w:val="en-US" w:eastAsia="zh-CN"/>
        </w:rPr>
        <w:t>的情形</w:t>
      </w:r>
      <w:r>
        <w:rPr>
          <w:rFonts w:eastAsia="仿宋"/>
          <w:b/>
          <w:bCs w:val="0"/>
          <w:sz w:val="24"/>
          <w:highlight w:val="none"/>
        </w:rPr>
        <w:t>）</w:t>
      </w:r>
      <w:r>
        <w:rPr>
          <w:rFonts w:hint="eastAsia" w:ascii="Times New Roman" w:hAnsi="Times New Roman" w:eastAsia="仿宋" w:cs="Times New Roman"/>
          <w:sz w:val="24"/>
          <w:szCs w:val="24"/>
          <w:highlight w:val="none"/>
          <w:lang w:val="en-US" w:eastAsia="zh-CN"/>
        </w:rPr>
        <w:t>根据采购项目和具体情况，采购人、采购代理机构认为有必要，可以在磋商文件提供期限截止后首次响应文件提交截止前，组织已获取磋商文件的潜在供应商现场考察或者召开答疑会。</w:t>
      </w:r>
    </w:p>
    <w:p w14:paraId="0F04CC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435D23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4.供应商考察现场或者参加答疑会所发生的一切费用由供应商自己承担。</w:t>
      </w:r>
    </w:p>
    <w:p w14:paraId="13309444">
      <w:pPr>
        <w:pageBreakBefore w:val="0"/>
        <w:widowControl w:val="0"/>
        <w:kinsoku/>
        <w:wordWrap/>
        <w:overflowPunct/>
        <w:topLinePunct w:val="0"/>
        <w:autoSpaceDE/>
        <w:autoSpaceDN/>
        <w:bidi w:val="0"/>
        <w:snapToGrid/>
        <w:spacing w:line="360" w:lineRule="auto"/>
        <w:ind w:firstLine="562" w:firstLineChars="200"/>
        <w:jc w:val="center"/>
        <w:outlineLvl w:val="1"/>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lang w:eastAsia="zh-CN"/>
        </w:rPr>
        <w:t>四、响应</w:t>
      </w:r>
      <w:r>
        <w:rPr>
          <w:rFonts w:ascii="Times New Roman" w:hAnsi="Times New Roman" w:eastAsia="仿宋" w:cs="Times New Roman"/>
          <w:b/>
          <w:sz w:val="28"/>
          <w:szCs w:val="28"/>
          <w:highlight w:val="none"/>
        </w:rPr>
        <w:t>文件</w:t>
      </w:r>
    </w:p>
    <w:p w14:paraId="32222D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（一）</w:t>
      </w:r>
      <w:r>
        <w:rPr>
          <w:rFonts w:hint="eastAsia" w:ascii="Times New Roman" w:hAnsi="Times New Roman" w:eastAsia="仿宋" w:cs="Times New Roman"/>
          <w:b/>
          <w:sz w:val="24"/>
          <w:szCs w:val="24"/>
          <w:highlight w:val="none"/>
        </w:rPr>
        <w:t>响应文件的组成</w:t>
      </w:r>
    </w:p>
    <w:p w14:paraId="010F6B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Cs w:val="0"/>
          <w:sz w:val="24"/>
          <w:highlight w:val="none"/>
        </w:rPr>
      </w:pPr>
      <w:r>
        <w:rPr>
          <w:rFonts w:hint="eastAsia" w:ascii="Times New Roman" w:hAnsi="Times New Roman" w:eastAsia="仿宋" w:cs="Times New Roman"/>
          <w:sz w:val="24"/>
          <w:szCs w:val="24"/>
          <w:highlight w:val="none"/>
          <w:lang w:val="en-US" w:eastAsia="zh-CN"/>
        </w:rPr>
        <w:t>1.供应商编写的响应文件包括资格性响应文件和其他响应文件两部分，分册装订。</w:t>
      </w:r>
    </w:p>
    <w:p w14:paraId="50CD819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（二）</w:t>
      </w:r>
      <w:r>
        <w:rPr>
          <w:rFonts w:hint="eastAsia" w:ascii="Times New Roman" w:hAnsi="Times New Roman" w:eastAsia="仿宋" w:cs="Times New Roman"/>
          <w:b/>
          <w:sz w:val="24"/>
          <w:szCs w:val="24"/>
          <w:highlight w:val="none"/>
        </w:rPr>
        <w:t>响应文件的语言（实质性要求）</w:t>
      </w:r>
    </w:p>
    <w:p w14:paraId="745D06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供应商提交的响应文件以及供应商与采购代理机构就有关报价的所有来往书面文件均应使用中文。响应文件中如附有外文资料，应当逐一对应翻译成中文并加盖供应商公章后附在相关外文资料后面，所提供的外文资料将被视为无效材料。</w:t>
      </w:r>
    </w:p>
    <w:p w14:paraId="49ABC1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2.翻译的中文资料与外文资料如果出现差异和矛盾时，以中文为准。涉嫌虚假响应的按照相关法律法规处理。</w:t>
      </w:r>
    </w:p>
    <w:p w14:paraId="48A347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3.如因未翻译而造成的响应文件无效风险，由供应商承担。</w:t>
      </w:r>
    </w:p>
    <w:p w14:paraId="6A7C75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4.响应文件对不同文字文本的解释发生异议的，以中文文本为准。</w:t>
      </w:r>
      <w:bookmarkStart w:id="14" w:name="_Toc217446044"/>
      <w:bookmarkStart w:id="15" w:name="_Toc183682353"/>
      <w:bookmarkStart w:id="16" w:name="_Toc183582216"/>
    </w:p>
    <w:p w14:paraId="56898A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（三）</w:t>
      </w:r>
      <w:r>
        <w:rPr>
          <w:rFonts w:hint="eastAsia" w:ascii="Times New Roman" w:hAnsi="Times New Roman" w:eastAsia="仿宋" w:cs="Times New Roman"/>
          <w:b/>
          <w:sz w:val="24"/>
          <w:szCs w:val="24"/>
          <w:highlight w:val="none"/>
        </w:rPr>
        <w:t>计量单位</w:t>
      </w:r>
      <w:bookmarkEnd w:id="14"/>
      <w:bookmarkEnd w:id="15"/>
      <w:bookmarkEnd w:id="16"/>
      <w:r>
        <w:rPr>
          <w:rFonts w:hint="eastAsia" w:ascii="Times New Roman" w:hAnsi="Times New Roman" w:eastAsia="仿宋" w:cs="Times New Roman"/>
          <w:b/>
          <w:sz w:val="24"/>
          <w:szCs w:val="24"/>
          <w:highlight w:val="none"/>
        </w:rPr>
        <w:t>（实质性要求）</w:t>
      </w:r>
    </w:p>
    <w:p w14:paraId="0C3E5D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b/>
          <w:bCs/>
          <w:sz w:val="24"/>
          <w:highlight w:val="none"/>
        </w:rPr>
      </w:pPr>
      <w:r>
        <w:rPr>
          <w:rFonts w:hint="eastAsia" w:ascii="Times New Roman" w:hAnsi="Times New Roman" w:eastAsia="仿宋" w:cs="Times New Roman"/>
          <w:sz w:val="24"/>
          <w:szCs w:val="24"/>
          <w:highlight w:val="none"/>
          <w:lang w:val="en-US" w:eastAsia="zh-CN"/>
        </w:rPr>
        <w:t>除磋商文件中另有规定外，本次采购项目所有合同项下的报价均采用国家法定的计量单位。</w:t>
      </w:r>
      <w:bookmarkStart w:id="17" w:name="_Toc217446045"/>
    </w:p>
    <w:p w14:paraId="6B7CBD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四</w:t>
      </w:r>
      <w:r>
        <w:rPr>
          <w:rFonts w:hint="eastAsia" w:ascii="Times New Roman" w:hAnsi="Times New Roman" w:eastAsia="仿宋" w:cs="Times New Roman"/>
          <w:b/>
          <w:sz w:val="24"/>
          <w:szCs w:val="24"/>
          <w:highlight w:val="none"/>
          <w:lang w:eastAsia="zh-CN"/>
        </w:rPr>
        <w:t>）报价（实质性要求）</w:t>
      </w:r>
    </w:p>
    <w:p w14:paraId="0B368C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1.本次磋商项目的报价货币为人民币，报价以磋商文件规定为准。</w:t>
      </w:r>
    </w:p>
    <w:p w14:paraId="69869C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2.供应商的报价应是供应商响应采购项目要求的全部工作内容的价格体现，是最终用户验收合格后的总价，包含了供应商完成本项目所需的一切费用，即项目包干价。</w:t>
      </w:r>
    </w:p>
    <w:p w14:paraId="1DBD45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本项目采取多轮报价方式，以供应商最后一轮报价为其有效报价。供应商的各轮报价均不得高于本项目所设的最高限价。供应商未在首次响应文件中作出第一轮报价或供应商的任意一轮报价高于本项目所设最高限价的，其响应文件作无效处理。</w:t>
      </w:r>
    </w:p>
    <w:p w14:paraId="1DD89064">
      <w:pPr>
        <w:pageBreakBefore w:val="0"/>
        <w:widowControl w:val="0"/>
        <w:kinsoku/>
        <w:wordWrap/>
        <w:overflowPunct/>
        <w:topLinePunct w:val="0"/>
        <w:autoSpaceDE/>
        <w:autoSpaceDN/>
        <w:bidi w:val="0"/>
        <w:snapToGrid/>
        <w:spacing w:line="360" w:lineRule="auto"/>
        <w:ind w:firstLine="482" w:firstLineChars="200"/>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（五）响应文件有效期（实质性要求）</w:t>
      </w:r>
    </w:p>
    <w:p w14:paraId="76BB0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本项目响应文件有效期为提交磋商首次响应文件截止之日起</w:t>
      </w:r>
      <w:r>
        <w:rPr>
          <w:rFonts w:hint="eastAsia" w:ascii="Times New Roman" w:hAnsi="Times New Roman" w:eastAsia="仿宋" w:cs="Times New Roman"/>
          <w:b/>
          <w:bCs/>
          <w:sz w:val="24"/>
          <w:szCs w:val="24"/>
          <w:highlight w:val="none"/>
          <w:lang w:val="en-US" w:eastAsia="zh-CN"/>
        </w:rPr>
        <w:t>90</w:t>
      </w:r>
      <w:r>
        <w:rPr>
          <w:rFonts w:hint="eastAsia" w:ascii="Times New Roman" w:hAnsi="Times New Roman" w:eastAsia="仿宋" w:cs="Times New Roman"/>
          <w:sz w:val="24"/>
          <w:szCs w:val="24"/>
          <w:highlight w:val="none"/>
          <w:lang w:val="en-US" w:eastAsia="zh-CN"/>
        </w:rPr>
        <w:t>天。供应商响应文件中必须载明响应文件有效期，响应文件中载明的响应文件有效期可以长于磋商文件规定的期限，但不得短于磋商文件规定的期限。否则，其响应文件将作为无效响应处理。</w:t>
      </w:r>
    </w:p>
    <w:p w14:paraId="614D234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（六）知识产权（实质性要求）</w:t>
      </w:r>
    </w:p>
    <w:p w14:paraId="228059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7437A6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2.除非磋商文件特别规定，采购人享有本项目实施过程中产生的知识成果及知识产权。</w:t>
      </w:r>
    </w:p>
    <w:p w14:paraId="11863F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14:paraId="698065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highlight w:val="none"/>
        </w:rPr>
      </w:pPr>
      <w:r>
        <w:rPr>
          <w:rFonts w:hint="eastAsia" w:ascii="Times New Roman" w:hAnsi="Times New Roman" w:eastAsia="仿宋" w:cs="Times New Roman"/>
          <w:sz w:val="24"/>
          <w:szCs w:val="24"/>
          <w:highlight w:val="none"/>
          <w:lang w:val="en-US" w:eastAsia="zh-CN"/>
        </w:rPr>
        <w:t>4.如采用供应商所不拥有的知识产权，则在报价中必须包括合法获取该知识产权的相关费用。</w:t>
      </w:r>
    </w:p>
    <w:bookmarkEnd w:id="17"/>
    <w:p w14:paraId="6EB95E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七</w:t>
      </w:r>
      <w:r>
        <w:rPr>
          <w:rFonts w:hint="eastAsia" w:ascii="Times New Roman" w:hAnsi="Times New Roman" w:eastAsia="仿宋" w:cs="Times New Roman"/>
          <w:b/>
          <w:sz w:val="24"/>
          <w:szCs w:val="24"/>
          <w:highlight w:val="none"/>
          <w:lang w:eastAsia="zh-CN"/>
        </w:rPr>
        <w:t>）响应文件格式</w:t>
      </w:r>
    </w:p>
    <w:p w14:paraId="5F3022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bCs w:val="0"/>
          <w:kern w:val="2"/>
          <w:sz w:val="24"/>
          <w:szCs w:val="24"/>
          <w:highlight w:val="none"/>
          <w:lang w:val="en-US" w:eastAsia="zh-CN" w:bidi="ar-SA"/>
        </w:rPr>
      </w:pPr>
      <w:bookmarkStart w:id="18" w:name="_Toc89075877"/>
      <w:bookmarkStart w:id="19" w:name="_Toc77400781"/>
      <w:bookmarkStart w:id="20" w:name="_Toc183682363"/>
      <w:bookmarkStart w:id="21" w:name="_Toc183582226"/>
      <w:bookmarkStart w:id="22" w:name="_Toc217446053"/>
      <w:r>
        <w:rPr>
          <w:rFonts w:hint="eastAsia" w:ascii="Times New Roman" w:hAnsi="Times New Roman" w:eastAsia="仿宋" w:cs="Times New Roman"/>
          <w:sz w:val="24"/>
          <w:szCs w:val="24"/>
          <w:highlight w:val="none"/>
          <w:lang w:val="en-US" w:eastAsia="zh-CN"/>
        </w:rPr>
        <w:t>供应商可参照磋商文件的提供的格式，进行编制响应文件。</w:t>
      </w:r>
    </w:p>
    <w:p w14:paraId="26E78C17">
      <w:pPr>
        <w:pStyle w:val="4"/>
        <w:keepNext w:val="0"/>
        <w:keepLines w:val="0"/>
        <w:pageBreakBefore w:val="0"/>
        <w:widowControl w:val="0"/>
        <w:kinsoku/>
        <w:wordWrap/>
        <w:overflowPunct/>
        <w:topLinePunct w:val="0"/>
        <w:autoSpaceDE/>
        <w:autoSpaceDN/>
        <w:bidi w:val="0"/>
        <w:snapToGrid/>
        <w:spacing w:before="0" w:after="0" w:line="360" w:lineRule="auto"/>
        <w:ind w:firstLine="482" w:firstLineChars="200"/>
        <w:rPr>
          <w:rFonts w:hint="eastAsia" w:ascii="仿宋" w:hAnsi="仿宋" w:eastAsia="仿宋"/>
          <w:sz w:val="24"/>
          <w:highlight w:val="none"/>
          <w:lang w:eastAsia="zh-CN"/>
        </w:rPr>
      </w:pPr>
      <w:r>
        <w:rPr>
          <w:rFonts w:hint="eastAsia" w:ascii="Times New Roman" w:hAnsi="Times New Roman" w:eastAsia="仿宋" w:cs="Times New Roman"/>
          <w:b/>
          <w:bCs w:val="0"/>
          <w:kern w:val="2"/>
          <w:sz w:val="24"/>
          <w:szCs w:val="24"/>
          <w:highlight w:val="none"/>
          <w:lang w:val="en-US" w:eastAsia="zh-CN" w:bidi="ar-SA"/>
        </w:rPr>
        <w:t>（</w:t>
      </w:r>
      <w:r>
        <w:rPr>
          <w:rFonts w:hint="eastAsia" w:eastAsia="仿宋" w:cs="Times New Roman"/>
          <w:b/>
          <w:bCs w:val="0"/>
          <w:kern w:val="2"/>
          <w:sz w:val="24"/>
          <w:szCs w:val="24"/>
          <w:highlight w:val="none"/>
          <w:lang w:val="en-US" w:eastAsia="zh-CN" w:bidi="ar-SA"/>
        </w:rPr>
        <w:t>八</w:t>
      </w:r>
      <w:r>
        <w:rPr>
          <w:rFonts w:hint="eastAsia" w:ascii="Times New Roman" w:hAnsi="Times New Roman" w:eastAsia="仿宋" w:cs="Times New Roman"/>
          <w:b/>
          <w:bCs w:val="0"/>
          <w:kern w:val="2"/>
          <w:sz w:val="24"/>
          <w:szCs w:val="24"/>
          <w:highlight w:val="none"/>
          <w:lang w:val="en-US" w:eastAsia="zh-CN" w:bidi="ar-SA"/>
        </w:rPr>
        <w:t>）响应文件的编制和签署</w:t>
      </w:r>
    </w:p>
    <w:p w14:paraId="48F83F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1.响应文件的份数，以“供应商须知附表”为准。</w:t>
      </w:r>
      <w:r>
        <w:rPr>
          <w:rFonts w:hint="eastAsia" w:ascii="仿宋" w:hAnsi="仿宋" w:eastAsia="仿宋" w:cs="Times New Roman"/>
          <w:b/>
          <w:bCs/>
          <w:kern w:val="2"/>
          <w:sz w:val="24"/>
          <w:szCs w:val="32"/>
          <w:highlight w:val="none"/>
          <w:lang w:val="en-US" w:eastAsia="zh-CN" w:bidi="ar-SA"/>
        </w:rPr>
        <w:t>（实质性要求）</w:t>
      </w:r>
    </w:p>
    <w:p w14:paraId="7F77B6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2.若正本和副本有不一致的内容，以正本书面响应文件为准。</w:t>
      </w:r>
      <w:r>
        <w:rPr>
          <w:rFonts w:hint="eastAsia" w:ascii="仿宋" w:hAnsi="仿宋" w:eastAsia="仿宋" w:cs="Times New Roman"/>
          <w:b/>
          <w:bCs/>
          <w:kern w:val="2"/>
          <w:sz w:val="24"/>
          <w:szCs w:val="32"/>
          <w:highlight w:val="none"/>
          <w:lang w:val="en-US" w:eastAsia="zh-CN" w:bidi="ar-SA"/>
        </w:rPr>
        <w:t>（实质性要求）</w:t>
      </w:r>
    </w:p>
    <w:p w14:paraId="4B0DC8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3.响应文件密封袋的最外层可以注明采购项目名称、采购项目编号、采购包号及名称（若有）、供应商名称、“正本”或“副本”字样。</w:t>
      </w:r>
    </w:p>
    <w:p w14:paraId="78704D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4.响应文件应根据磋商文件的要求签署、盖章。</w:t>
      </w:r>
      <w:r>
        <w:rPr>
          <w:rFonts w:hint="eastAsia" w:ascii="仿宋" w:hAnsi="仿宋" w:eastAsia="仿宋" w:cs="Times New Roman"/>
          <w:b/>
          <w:bCs/>
          <w:kern w:val="2"/>
          <w:sz w:val="24"/>
          <w:szCs w:val="32"/>
          <w:highlight w:val="none"/>
          <w:lang w:val="en-US" w:eastAsia="zh-CN" w:bidi="ar-SA"/>
        </w:rPr>
        <w:t>（实质性要求）</w:t>
      </w:r>
    </w:p>
    <w:p w14:paraId="69AA7D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5.响应文件正本和副本可采用打印或用不褪色、不变质的墨水书写，响应文件副本可采用正本的复印件。</w:t>
      </w:r>
    </w:p>
    <w:p w14:paraId="3470B9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6.响应文件若涉及，行间插字、涂改或增删，应由供应商的法定代表人/单位负责人或其授权代表签字并盖供应商公章。</w:t>
      </w:r>
      <w:r>
        <w:rPr>
          <w:rFonts w:hint="eastAsia" w:ascii="Times New Roman" w:hAnsi="Times New Roman" w:eastAsia="仿宋" w:cs="Times New Roman"/>
          <w:b/>
          <w:bCs/>
          <w:sz w:val="24"/>
          <w:szCs w:val="24"/>
          <w:highlight w:val="none"/>
          <w:lang w:val="en-US" w:eastAsia="zh-CN"/>
        </w:rPr>
        <w:t>（实质性要求）</w:t>
      </w:r>
    </w:p>
    <w:p w14:paraId="4557ED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sz w:val="24"/>
          <w:szCs w:val="24"/>
          <w:highlight w:val="none"/>
          <w:lang w:val="en-US" w:eastAsia="zh-CN"/>
        </w:rPr>
        <w:t>7.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r>
        <w:rPr>
          <w:rFonts w:hint="eastAsia" w:ascii="Times New Roman" w:hAnsi="Times New Roman" w:eastAsia="仿宋" w:cs="Times New Roman"/>
          <w:b/>
          <w:bCs/>
          <w:sz w:val="24"/>
          <w:szCs w:val="24"/>
          <w:highlight w:val="none"/>
          <w:lang w:val="en-US" w:eastAsia="zh-CN"/>
        </w:rPr>
        <w:t>（实质性要求）</w:t>
      </w:r>
    </w:p>
    <w:p w14:paraId="1C9265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b/>
          <w:sz w:val="24"/>
          <w:highlight w:val="none"/>
        </w:rPr>
      </w:pPr>
      <w:r>
        <w:rPr>
          <w:rFonts w:hint="eastAsia" w:ascii="Times New Roman" w:hAnsi="Times New Roman" w:eastAsia="仿宋" w:cs="Times New Roman"/>
          <w:sz w:val="24"/>
          <w:szCs w:val="24"/>
          <w:highlight w:val="none"/>
          <w:lang w:val="en-US" w:eastAsia="zh-CN"/>
        </w:rPr>
        <w:t>8.响应文件正本和副本可以采用A4幅面纸胶装方式装订成册并逐页编码。</w:t>
      </w:r>
    </w:p>
    <w:p w14:paraId="1F230B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九</w:t>
      </w:r>
      <w:r>
        <w:rPr>
          <w:rFonts w:hint="eastAsia" w:ascii="Times New Roman" w:hAnsi="Times New Roman" w:eastAsia="仿宋" w:cs="Times New Roman"/>
          <w:b/>
          <w:sz w:val="24"/>
          <w:szCs w:val="24"/>
          <w:highlight w:val="none"/>
          <w:lang w:eastAsia="zh-CN"/>
        </w:rPr>
        <w:t>）响应文件的密封</w:t>
      </w:r>
    </w:p>
    <w:p w14:paraId="237B76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1.响应文件正本和副本可以单独密封包装，也可以所有响应文件密封包装在一个密封袋内。</w:t>
      </w:r>
    </w:p>
    <w:p w14:paraId="36D5A5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2.响应文件所有外层应当密封完好。</w:t>
      </w:r>
      <w:r>
        <w:rPr>
          <w:rFonts w:hint="eastAsia" w:ascii="Times New Roman" w:hAnsi="Times New Roman" w:eastAsia="仿宋" w:cs="Times New Roman"/>
          <w:b/>
          <w:sz w:val="24"/>
          <w:szCs w:val="24"/>
          <w:highlight w:val="none"/>
          <w:lang w:eastAsia="zh-CN"/>
        </w:rPr>
        <w:t>（实质性要求）</w:t>
      </w:r>
    </w:p>
    <w:p w14:paraId="7B6993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Times New Roman" w:hAnsi="Times New Roman" w:eastAsia="仿宋" w:cs="Times New Roman"/>
          <w:sz w:val="24"/>
          <w:szCs w:val="24"/>
          <w:highlight w:val="none"/>
          <w:lang w:val="en-US" w:eastAsia="zh-CN"/>
        </w:rPr>
        <w:t>3.未密封的响应文件，采购人、采购代理机构将拒收或者在法定时间允许的范围内，要求修改完善后接收。</w:t>
      </w:r>
      <w:r>
        <w:rPr>
          <w:rFonts w:hint="eastAsia" w:ascii="Times New Roman" w:hAnsi="Times New Roman" w:eastAsia="仿宋" w:cs="Times New Roman"/>
          <w:b/>
          <w:sz w:val="24"/>
          <w:szCs w:val="24"/>
          <w:highlight w:val="none"/>
          <w:lang w:eastAsia="zh-CN"/>
        </w:rPr>
        <w:t>（实质性要求）</w:t>
      </w:r>
    </w:p>
    <w:p w14:paraId="159C69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十</w:t>
      </w:r>
      <w:r>
        <w:rPr>
          <w:rFonts w:hint="eastAsia" w:ascii="Times New Roman" w:hAnsi="Times New Roman" w:eastAsia="仿宋" w:cs="Times New Roman"/>
          <w:b/>
          <w:sz w:val="24"/>
          <w:szCs w:val="24"/>
          <w:highlight w:val="none"/>
          <w:lang w:eastAsia="zh-CN"/>
        </w:rPr>
        <w:t>）响应文件的提交</w:t>
      </w:r>
    </w:p>
    <w:p w14:paraId="32DF96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1.响应文件</w:t>
      </w:r>
      <w:r>
        <w:rPr>
          <w:rFonts w:hint="eastAsia" w:ascii="Times New Roman" w:hAnsi="Times New Roman" w:eastAsia="仿宋" w:cs="Times New Roman"/>
          <w:sz w:val="24"/>
          <w:szCs w:val="24"/>
          <w:highlight w:val="none"/>
        </w:rPr>
        <w:t>应在</w:t>
      </w:r>
      <w:r>
        <w:rPr>
          <w:rFonts w:hint="eastAsia" w:ascii="Times New Roman" w:hAnsi="Times New Roman" w:eastAsia="仿宋" w:cs="Times New Roman"/>
          <w:sz w:val="24"/>
          <w:szCs w:val="24"/>
          <w:highlight w:val="none"/>
          <w:lang w:eastAsia="zh-CN"/>
        </w:rPr>
        <w:t>提交</w:t>
      </w:r>
      <w:r>
        <w:rPr>
          <w:rFonts w:hint="eastAsia" w:ascii="Times New Roman" w:hAnsi="Times New Roman" w:eastAsia="仿宋" w:cs="Times New Roman"/>
          <w:sz w:val="24"/>
          <w:szCs w:val="24"/>
          <w:highlight w:val="none"/>
        </w:rPr>
        <w:t>首次响应文件截止时间前送达。</w:t>
      </w:r>
      <w:r>
        <w:rPr>
          <w:rFonts w:hint="eastAsia" w:ascii="Times New Roman" w:hAnsi="Times New Roman" w:eastAsia="仿宋" w:cs="Times New Roman"/>
          <w:b/>
          <w:sz w:val="24"/>
          <w:szCs w:val="24"/>
          <w:highlight w:val="none"/>
          <w:lang w:eastAsia="zh-CN"/>
        </w:rPr>
        <w:t>（实质性要求）</w:t>
      </w:r>
    </w:p>
    <w:p w14:paraId="4B179B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2.逾期送达或者未密封的响应文件，采购代理机构应当拒收。</w:t>
      </w:r>
      <w:r>
        <w:rPr>
          <w:rFonts w:hint="eastAsia" w:ascii="Times New Roman" w:hAnsi="Times New Roman" w:eastAsia="仿宋" w:cs="Times New Roman"/>
          <w:b/>
          <w:sz w:val="24"/>
          <w:szCs w:val="24"/>
          <w:highlight w:val="none"/>
          <w:lang w:eastAsia="zh-CN"/>
        </w:rPr>
        <w:t>（实质性要求）</w:t>
      </w:r>
    </w:p>
    <w:p w14:paraId="76E814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Times New Roman" w:hAnsi="Times New Roman" w:eastAsia="仿宋" w:cs="Times New Roman"/>
          <w:sz w:val="24"/>
          <w:szCs w:val="24"/>
          <w:highlight w:val="none"/>
          <w:lang w:val="en-US" w:eastAsia="zh-CN"/>
        </w:rPr>
        <w:t>3.最后报价表在磋商后，磋商小组要求供应商进行报价时提交。</w:t>
      </w:r>
    </w:p>
    <w:bookmarkEnd w:id="18"/>
    <w:bookmarkEnd w:id="19"/>
    <w:bookmarkEnd w:id="20"/>
    <w:bookmarkEnd w:id="21"/>
    <w:bookmarkEnd w:id="22"/>
    <w:p w14:paraId="05612B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bookmarkStart w:id="23" w:name="_Toc183582228"/>
      <w:bookmarkStart w:id="24" w:name="_Toc183682365"/>
      <w:bookmarkStart w:id="25" w:name="_Toc217446055"/>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十一</w:t>
      </w: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rPr>
        <w:t>响应文件的修改和撤回</w:t>
      </w:r>
    </w:p>
    <w:p w14:paraId="70D994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供应商在提交响应文件后可对其响应文件进行修改或撤回，但该修改或撤回的书面通知须在提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478786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2.供应商对响应文件修改的书面材料或撤回的通知应该按规定进行编写、密封、标注和递送，并注明“修改响应文件”字样。</w:t>
      </w:r>
    </w:p>
    <w:p w14:paraId="26891E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3.供应商不得在提交截止时间起至响应文件有效期期满前撤回其响应文件。否则其磋商保证金将按相关规定不予退还。</w:t>
      </w:r>
    </w:p>
    <w:p w14:paraId="5900F8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4.供应商对其提交的响应文件的真实性、合法性承担法律责任。</w:t>
      </w:r>
      <w:bookmarkEnd w:id="23"/>
      <w:bookmarkEnd w:id="24"/>
      <w:bookmarkEnd w:id="25"/>
    </w:p>
    <w:p w14:paraId="7055F6FD">
      <w:pPr>
        <w:pageBreakBefore w:val="0"/>
        <w:widowControl w:val="0"/>
        <w:numPr>
          <w:ilvl w:val="0"/>
          <w:numId w:val="0"/>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五、评审</w:t>
      </w:r>
    </w:p>
    <w:p w14:paraId="6C4BB8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详见第七章</w:t>
      </w:r>
    </w:p>
    <w:p w14:paraId="3978C57B">
      <w:pPr>
        <w:keepNext w:val="0"/>
        <w:keepLines w:val="0"/>
        <w:pageBreakBefore w:val="0"/>
        <w:widowControl w:val="0"/>
        <w:kinsoku/>
        <w:wordWrap/>
        <w:overflowPunct/>
        <w:topLinePunct w:val="0"/>
        <w:autoSpaceDE/>
        <w:autoSpaceDN/>
        <w:bidi w:val="0"/>
        <w:adjustRightInd/>
        <w:snapToGrid/>
        <w:spacing w:line="360" w:lineRule="auto"/>
        <w:ind w:firstLine="281" w:firstLineChars="100"/>
        <w:jc w:val="center"/>
        <w:textAlignment w:val="auto"/>
        <w:outlineLvl w:val="1"/>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六、成交事项</w:t>
      </w:r>
    </w:p>
    <w:p w14:paraId="31D3F8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（一）成交结果</w:t>
      </w:r>
    </w:p>
    <w:p w14:paraId="33A4A5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详见第七章。</w:t>
      </w:r>
    </w:p>
    <w:p w14:paraId="2A303A9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（二）成交通知书</w:t>
      </w:r>
    </w:p>
    <w:p w14:paraId="6F8686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1.成交通知书为签订采购合同的依据之一，是合同的有效组成部分。</w:t>
      </w:r>
    </w:p>
    <w:p w14:paraId="6CD53E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2成交通知书对采购人和成交供应商均具有法律效力。成交通知书发出后，采购人无正当理由改变成交结果，或者成交供应商无正当理由放弃成交的，将承担相应的法律责任。</w:t>
      </w:r>
    </w:p>
    <w:p w14:paraId="139196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highlight w:val="none"/>
        </w:rPr>
      </w:pPr>
      <w:r>
        <w:rPr>
          <w:rFonts w:hint="eastAsia" w:ascii="Times New Roman" w:hAnsi="Times New Roman" w:eastAsia="仿宋" w:cs="Times New Roman"/>
          <w:sz w:val="24"/>
          <w:szCs w:val="24"/>
          <w:highlight w:val="none"/>
          <w:lang w:val="en-US" w:eastAsia="zh-CN"/>
        </w:rPr>
        <w:t>3.成交供应商的响应文件作为无效响应文件处理或者其他规定的成交无效情形的，采购人或采购代理机构在取得有权主体的认定以后，有权宣布发出的成交通知书无效，并收回发出的成交通知书，依法重新确定成交供应商或者重新开展采购活动。</w:t>
      </w:r>
    </w:p>
    <w:p w14:paraId="2D76195A">
      <w:pPr>
        <w:pageBreakBefore w:val="0"/>
        <w:widowControl w:val="0"/>
        <w:numPr>
          <w:ilvl w:val="0"/>
          <w:numId w:val="0"/>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七、合同事项</w:t>
      </w:r>
    </w:p>
    <w:p w14:paraId="49A53FE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bookmarkStart w:id="26" w:name="_Toc101174151"/>
      <w:bookmarkStart w:id="27" w:name="_Toc101250646"/>
      <w:bookmarkStart w:id="28" w:name="_Toc430773927"/>
      <w:bookmarkStart w:id="29" w:name="_Toc209847069"/>
      <w:bookmarkStart w:id="30" w:name="_Toc101338364"/>
      <w:r>
        <w:rPr>
          <w:rFonts w:hint="eastAsia" w:ascii="Times New Roman" w:hAnsi="Times New Roman" w:eastAsia="仿宋" w:cs="Times New Roman"/>
          <w:b/>
          <w:sz w:val="24"/>
          <w:szCs w:val="24"/>
          <w:highlight w:val="none"/>
          <w:lang w:val="en-US" w:eastAsia="zh-CN"/>
        </w:rPr>
        <w:t>（一）签订合同</w:t>
      </w:r>
      <w:bookmarkEnd w:id="26"/>
      <w:bookmarkEnd w:id="27"/>
      <w:bookmarkEnd w:id="28"/>
      <w:bookmarkEnd w:id="29"/>
      <w:bookmarkEnd w:id="30"/>
    </w:p>
    <w:p w14:paraId="52818B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1.成交供应商应在成交通知书发出之日起30日内与采购人签订采购合同。由于成交供应商的原因逾期未与采购人签订采购合同的，将视为放弃成交，取消其成交资格并将按相关规定进行处理。</w:t>
      </w:r>
    </w:p>
    <w:p w14:paraId="2F705C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2.磋商文件、成交供应商的响应文件及双方确认的澄清文件等，均为有法律约束力的经济合同的组成部分。</w:t>
      </w:r>
    </w:p>
    <w:p w14:paraId="728CD0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0A1CFF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4.成交供应商因不可抗力原因不能履行采购合同或放弃成交的，采购人可以与排在成交供应商之后第一位的成交候选人签订采购合同，以此类推。</w:t>
      </w:r>
    </w:p>
    <w:p w14:paraId="186BCE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Times New Roman" w:hAnsi="Times New Roman" w:eastAsia="仿宋" w:cs="Times New Roman"/>
          <w:sz w:val="24"/>
          <w:szCs w:val="24"/>
          <w:highlight w:val="none"/>
          <w:lang w:val="en-US" w:eastAsia="zh-CN"/>
        </w:rPr>
        <w:t>5.竞争性磋商文件、成交供应商提交的响应文件、磋商中的最后报价、成交供应商承诺书、成交通知书等均称为有法律约束力的合同组成内容。</w:t>
      </w:r>
    </w:p>
    <w:p w14:paraId="312571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（二）合同分包（实质性要求）</w:t>
      </w:r>
    </w:p>
    <w:p w14:paraId="0586A4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1.本项目是否接受合同分包，以“供应商须知附表”为准。</w:t>
      </w:r>
    </w:p>
    <w:p w14:paraId="10D0FD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zh-CN" w:eastAsia="zh-CN"/>
        </w:rPr>
      </w:pPr>
      <w:r>
        <w:rPr>
          <w:rFonts w:hint="eastAsia" w:ascii="Times New Roman" w:hAnsi="Times New Roman" w:eastAsia="仿宋" w:cs="Times New Roman"/>
          <w:sz w:val="24"/>
          <w:szCs w:val="24"/>
          <w:highlight w:val="none"/>
          <w:lang w:val="en-US" w:eastAsia="zh-CN"/>
        </w:rPr>
        <w:t>2.</w:t>
      </w:r>
      <w:r>
        <w:rPr>
          <w:rFonts w:eastAsia="仿宋"/>
          <w:b/>
          <w:bCs w:val="0"/>
          <w:sz w:val="24"/>
          <w:highlight w:val="none"/>
        </w:rPr>
        <w:t>（</w:t>
      </w:r>
      <w:r>
        <w:rPr>
          <w:rFonts w:hint="eastAsia" w:eastAsia="仿宋"/>
          <w:b/>
          <w:bCs w:val="0"/>
          <w:sz w:val="24"/>
          <w:highlight w:val="none"/>
          <w:lang w:eastAsia="zh-CN"/>
        </w:rPr>
        <w:t>以下</w:t>
      </w:r>
      <w:r>
        <w:rPr>
          <w:rFonts w:hint="eastAsia" w:eastAsia="仿宋"/>
          <w:b/>
          <w:bCs w:val="0"/>
          <w:sz w:val="24"/>
          <w:highlight w:val="none"/>
          <w:lang w:val="en-US" w:eastAsia="zh-CN"/>
        </w:rPr>
        <w:t>仅适用</w:t>
      </w:r>
      <w:r>
        <w:rPr>
          <w:rFonts w:hint="eastAsia" w:eastAsia="仿宋"/>
          <w:b/>
          <w:bCs w:val="0"/>
          <w:sz w:val="24"/>
          <w:highlight w:val="none"/>
          <w:lang w:eastAsia="zh-CN"/>
        </w:rPr>
        <w:t>接受</w:t>
      </w:r>
      <w:r>
        <w:rPr>
          <w:rFonts w:hint="eastAsia" w:ascii="Times New Roman" w:hAnsi="Times New Roman" w:eastAsia="仿宋" w:cs="Times New Roman"/>
          <w:b/>
          <w:bCs w:val="0"/>
          <w:sz w:val="24"/>
          <w:szCs w:val="24"/>
          <w:highlight w:val="none"/>
          <w:lang w:val="en-US" w:eastAsia="zh-CN"/>
        </w:rPr>
        <w:t>合同分包</w:t>
      </w:r>
      <w:r>
        <w:rPr>
          <w:rFonts w:hint="eastAsia" w:eastAsia="仿宋"/>
          <w:b/>
          <w:bCs w:val="0"/>
          <w:sz w:val="24"/>
          <w:highlight w:val="none"/>
          <w:lang w:val="en-US" w:eastAsia="zh-CN"/>
        </w:rPr>
        <w:t>的情形</w:t>
      </w:r>
      <w:r>
        <w:rPr>
          <w:rFonts w:eastAsia="仿宋"/>
          <w:b/>
          <w:bCs w:val="0"/>
          <w:sz w:val="24"/>
          <w:highlight w:val="none"/>
        </w:rPr>
        <w:t>）</w:t>
      </w:r>
      <w:r>
        <w:rPr>
          <w:rFonts w:hint="eastAsia" w:ascii="Times New Roman" w:hAnsi="Times New Roman" w:eastAsia="仿宋" w:cs="Times New Roman"/>
          <w:sz w:val="24"/>
          <w:szCs w:val="24"/>
          <w:highlight w:val="none"/>
          <w:lang w:val="zh-CN" w:eastAsia="zh-CN"/>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49730E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zh-CN" w:eastAsia="zh-CN"/>
        </w:rPr>
      </w:pPr>
      <w:r>
        <w:rPr>
          <w:rFonts w:hint="eastAsia" w:ascii="Times New Roman" w:hAnsi="Times New Roman" w:eastAsia="仿宋" w:cs="Times New Roman"/>
          <w:sz w:val="24"/>
          <w:szCs w:val="24"/>
          <w:highlight w:val="none"/>
          <w:lang w:val="en-US" w:eastAsia="zh-CN"/>
        </w:rPr>
        <w:t>3.</w:t>
      </w:r>
      <w:r>
        <w:rPr>
          <w:rFonts w:hint="eastAsia" w:ascii="Times New Roman" w:hAnsi="Times New Roman" w:eastAsia="仿宋" w:cs="Times New Roman"/>
          <w:sz w:val="24"/>
          <w:szCs w:val="24"/>
          <w:highlight w:val="none"/>
          <w:lang w:val="zh-CN" w:eastAsia="zh-CN"/>
        </w:rPr>
        <w:t>分包履行合同的部分应当为采购项目的非主体、非关键性工作，不属于成交供应商的主要合同义务。本项目可以分包履行的具体内容、金额或者比例。</w:t>
      </w:r>
    </w:p>
    <w:p w14:paraId="70BBE39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（三）合同转包（实质性要求）</w:t>
      </w:r>
    </w:p>
    <w:p w14:paraId="3FCEB2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65B981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Times New Roman" w:hAnsi="Times New Roman" w:eastAsia="仿宋" w:cs="Times New Roman"/>
          <w:sz w:val="24"/>
          <w:szCs w:val="24"/>
          <w:highlight w:val="none"/>
          <w:lang w:val="en-US" w:eastAsia="zh-CN"/>
        </w:rPr>
        <w:t>2.成交供应商转包的，视同拒绝履行采购合同义务，将依法追究法律责任。</w:t>
      </w:r>
    </w:p>
    <w:p w14:paraId="0F578E6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（四）履约保证金（实质性要求）</w:t>
      </w:r>
    </w:p>
    <w:p w14:paraId="2C8662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highlight w:val="none"/>
          <w:lang w:val="en-US" w:eastAsia="zh-CN"/>
        </w:rPr>
      </w:pPr>
      <w:r>
        <w:rPr>
          <w:rFonts w:hint="eastAsia" w:ascii="Times New Roman" w:hAnsi="Times New Roman" w:eastAsia="仿宋" w:cs="Times New Roman"/>
          <w:sz w:val="24"/>
          <w:szCs w:val="24"/>
          <w:highlight w:val="none"/>
          <w:lang w:val="en-US" w:eastAsia="zh-CN"/>
        </w:rPr>
        <w:t>1.本项目是否交纳履约保证金，以“供应商须知附表”为准。</w:t>
      </w:r>
    </w:p>
    <w:p w14:paraId="1501DB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r>
        <w:rPr>
          <w:rFonts w:hint="eastAsia" w:ascii="Times New Roman" w:hAnsi="Times New Roman" w:eastAsia="仿宋" w:cs="Times New Roman"/>
          <w:b/>
          <w:sz w:val="24"/>
          <w:szCs w:val="24"/>
          <w:highlight w:val="none"/>
          <w:lang w:val="en-US" w:eastAsia="zh-CN"/>
        </w:rPr>
        <w:t>（以下仅适用于交纳履约保证金的情形）</w:t>
      </w:r>
      <w:r>
        <w:rPr>
          <w:rFonts w:hint="eastAsia" w:ascii="Times New Roman" w:hAnsi="Times New Roman" w:eastAsia="仿宋" w:cs="Times New Roman"/>
          <w:sz w:val="24"/>
          <w:szCs w:val="24"/>
          <w:highlight w:val="none"/>
          <w:lang w:val="en-US" w:eastAsia="zh-CN"/>
        </w:rPr>
        <w:t>成交供应商应在合同签订之前交纳采购文件规定数额的履约保证金。</w:t>
      </w:r>
    </w:p>
    <w:p w14:paraId="74BD21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3.如果成交供应商在规定的合同签订时间内，没有按照采购文件的规定交纳履约保证金，且又无正当理由的，将视为放弃成交。</w:t>
      </w:r>
    </w:p>
    <w:p w14:paraId="1273A2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4.履约保证金退还方式及时间：以“供应商须知附表”为准。</w:t>
      </w:r>
    </w:p>
    <w:p w14:paraId="3D7E33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5.履约保证金不予退还情形：</w:t>
      </w:r>
    </w:p>
    <w:p w14:paraId="7164D6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（1）成交供应商不履行与采购人订立的合同的，给采购人造成的损失超过履约保证金数额的，还应当对超过部分予以赔偿；</w:t>
      </w:r>
    </w:p>
    <w:p w14:paraId="7B72E2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（2）项目验收结果不合格的；</w:t>
      </w:r>
    </w:p>
    <w:p w14:paraId="4B307A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（3）其他违反国家相关法律法规的情形；</w:t>
      </w:r>
    </w:p>
    <w:p w14:paraId="3ED6A8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（4）采购文件中规定不予退还的情形。</w:t>
      </w:r>
    </w:p>
    <w:p w14:paraId="592C20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Times New Roman" w:hAnsi="Times New Roman" w:eastAsia="仿宋" w:cs="Times New Roman"/>
          <w:sz w:val="24"/>
          <w:szCs w:val="24"/>
          <w:highlight w:val="none"/>
          <w:lang w:val="en-US" w:eastAsia="zh-CN"/>
        </w:rPr>
        <w:t>6.履约保证金不予退还的，将按照有关规定上缴国库。逾期退还履约保证金的，将依法承担法律责任。</w:t>
      </w:r>
    </w:p>
    <w:p w14:paraId="73B2D5E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（五）履行合同</w:t>
      </w:r>
    </w:p>
    <w:p w14:paraId="605B9C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1.成交供应商与采购人签订合同后，合同双方应严格执行合同条款，履行合同规定的义务，保证合同的顺利完成。</w:t>
      </w:r>
    </w:p>
    <w:p w14:paraId="7B1A38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Times New Roman" w:hAnsi="Times New Roman" w:eastAsia="仿宋" w:cs="Times New Roman"/>
          <w:sz w:val="24"/>
          <w:szCs w:val="24"/>
          <w:highlight w:val="none"/>
          <w:lang w:val="en-US" w:eastAsia="zh-CN"/>
        </w:rPr>
        <w:t>2.在合同履行过程中，如发生合同纠纷，合同双方应按照《中华人民共和国民法典》的有关规定进行处理。</w:t>
      </w:r>
    </w:p>
    <w:p w14:paraId="7B2D06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（六）验收</w:t>
      </w:r>
    </w:p>
    <w:p w14:paraId="4BBE4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本项目采购人及其委托的采购代理机构将参照政府采购相关法律法规以及《财政部关于进一步加强政府采购需求和履约验收管理的指导意见》（财库〔2016〕205号）、《政府采购需求管理办法》（财库〔2021〕22号）的要求进行验收。</w:t>
      </w:r>
    </w:p>
    <w:p w14:paraId="045158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2.验收结果合格的，成交供应商凭验收报告办理相关手续；验收结果不合格的，履约保证金将不予退还，也将不予支付采购资金，还可能会报告主管部门予以处罚。</w:t>
      </w:r>
    </w:p>
    <w:p w14:paraId="740F0A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（七）合同价款支付</w:t>
      </w:r>
    </w:p>
    <w:p w14:paraId="334D5B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highlight w:val="none"/>
        </w:rPr>
      </w:pPr>
      <w:r>
        <w:rPr>
          <w:rFonts w:hint="eastAsia" w:ascii="Times New Roman" w:hAnsi="Times New Roman" w:eastAsia="仿宋" w:cs="Times New Roman"/>
          <w:sz w:val="24"/>
          <w:szCs w:val="24"/>
          <w:highlight w:val="none"/>
          <w:lang w:val="en-US" w:eastAsia="zh-CN"/>
        </w:rPr>
        <w:t>采购人将按照采购合同规定，及时向成交供应商支付采购资金。本项目采购资金付款详见第四章规定的付款方式。</w:t>
      </w:r>
    </w:p>
    <w:p w14:paraId="2B265D95">
      <w:pPr>
        <w:pageBreakBefore w:val="0"/>
        <w:widowControl w:val="0"/>
        <w:numPr>
          <w:ilvl w:val="0"/>
          <w:numId w:val="4"/>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磋商纪律要求（实质性要求）</w:t>
      </w:r>
    </w:p>
    <w:p w14:paraId="688888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（一）供应商纪律要求</w:t>
      </w:r>
    </w:p>
    <w:p w14:paraId="56796F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1.供应商应当遵循公平竞争的原则，不得恶意串通，不得妨碍其他供应商的竞争行为，不得损害采购人或者其他供应商的合法权益。</w:t>
      </w:r>
    </w:p>
    <w:p w14:paraId="22FB9E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highlight w:val="none"/>
        </w:rPr>
      </w:pPr>
      <w:r>
        <w:rPr>
          <w:rFonts w:hint="eastAsia" w:ascii="Times New Roman" w:hAnsi="Times New Roman" w:eastAsia="仿宋" w:cs="Times New Roman"/>
          <w:sz w:val="24"/>
          <w:szCs w:val="24"/>
          <w:highlight w:val="none"/>
          <w:lang w:val="en-US" w:eastAsia="zh-CN"/>
        </w:rPr>
        <w:t>2.在磋商过程中发现供应商有上述情形的，磋商小组应当认定其无效响应。</w:t>
      </w:r>
    </w:p>
    <w:p w14:paraId="41A8F5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（二）供应商禁止性行为，供应商参加本项目磋商不得具有以下情形：</w:t>
      </w:r>
    </w:p>
    <w:p w14:paraId="02B94F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（1）提供虚假材料谋取成交；</w:t>
      </w:r>
    </w:p>
    <w:p w14:paraId="3DA35C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（2）采取不正当手段诋毁、排挤其他供应商；</w:t>
      </w:r>
    </w:p>
    <w:p w14:paraId="6B7616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（3）与采购人、采购代理机构、或其他供应商恶意串通；</w:t>
      </w:r>
    </w:p>
    <w:p w14:paraId="3C80AD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（4）向采购人、采购代理机构、磋商小组成员行贿或者提供其他不正当利益；</w:t>
      </w:r>
    </w:p>
    <w:p w14:paraId="423264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（5）在磋商过程中与采购人、采购代理机构进行协商；</w:t>
      </w:r>
    </w:p>
    <w:p w14:paraId="66C29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（6）成交后无正当理由拒不与采购人签订采购合同；</w:t>
      </w:r>
    </w:p>
    <w:p w14:paraId="4A6D7E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（7）未按照磋商文件确定的事项签订采购合同；</w:t>
      </w:r>
    </w:p>
    <w:p w14:paraId="45BBDF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（8）将采购合同转包或者违规分包；</w:t>
      </w:r>
    </w:p>
    <w:p w14:paraId="2DDE87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（9）提供假冒伪劣产品；</w:t>
      </w:r>
    </w:p>
    <w:p w14:paraId="260BB0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（10）擅自变更、中止或者终止采购合同；</w:t>
      </w:r>
    </w:p>
    <w:p w14:paraId="5ABCC9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（11）拒绝有关部门的监督检查或者向监督检查部门提供虚假情况；</w:t>
      </w:r>
    </w:p>
    <w:p w14:paraId="0D396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（12）法律法规规定的其他情形。</w:t>
      </w:r>
    </w:p>
    <w:p w14:paraId="02F167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供应商有上述情形的，按照规定追究法律责任，具备（1）-（10）条情形之一的，同时将取消被确认为成交供应商的资格或者认定成交无效。</w:t>
      </w:r>
    </w:p>
    <w:p w14:paraId="160D061F">
      <w:pPr>
        <w:pageBreakBefore w:val="0"/>
        <w:widowControl w:val="0"/>
        <w:numPr>
          <w:ilvl w:val="0"/>
          <w:numId w:val="0"/>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b/>
          <w:sz w:val="28"/>
          <w:szCs w:val="28"/>
          <w:highlight w:val="none"/>
          <w:lang w:val="en-US" w:eastAsia="zh-CN"/>
        </w:rPr>
        <w:t>九、其他</w:t>
      </w:r>
    </w:p>
    <w:p w14:paraId="074804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val="0"/>
          <w:sz w:val="24"/>
          <w:szCs w:val="24"/>
          <w:highlight w:val="none"/>
          <w:lang w:val="en-US" w:eastAsia="zh-CN"/>
        </w:rPr>
        <w:t>（一）</w:t>
      </w:r>
      <w:r>
        <w:rPr>
          <w:rFonts w:hint="eastAsia" w:ascii="Times New Roman" w:hAnsi="Times New Roman" w:eastAsia="仿宋" w:cs="Times New Roman"/>
          <w:sz w:val="24"/>
          <w:szCs w:val="24"/>
          <w:highlight w:val="none"/>
          <w:lang w:val="en-US" w:eastAsia="zh-CN"/>
        </w:rPr>
        <w:t>本磋商文件中所引相关法律制度规定，在采购中有变化的，按照变化后的相关法律制度规定执行。本章规定的内容条款，在本项目提交响应文件截止时间届满后，因相关法律制度规定的变化导致不符合相关法律制度规定的，直接按照变化后的相关法律制度规定执行，本磋商文件不再做调整。</w:t>
      </w:r>
    </w:p>
    <w:p w14:paraId="2A4CC9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二）采购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磋商须知前附表为准，如前附表中无相关内容，在保证国家、集体和采购人利益不受损害的情况下按有利于供应商的原则进行处理。</w:t>
      </w:r>
    </w:p>
    <w:p w14:paraId="0DF704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highlight w:val="none"/>
        </w:rPr>
      </w:pPr>
      <w:r>
        <w:rPr>
          <w:rFonts w:hint="eastAsia" w:ascii="Times New Roman" w:hAnsi="Times New Roman" w:eastAsia="仿宋" w:cs="Times New Roman"/>
          <w:b w:val="0"/>
          <w:bCs w:val="0"/>
          <w:sz w:val="24"/>
          <w:szCs w:val="24"/>
          <w:highlight w:val="none"/>
          <w:lang w:val="en-US" w:eastAsia="zh-CN"/>
        </w:rPr>
        <w:t>（三）</w:t>
      </w:r>
      <w:r>
        <w:rPr>
          <w:rFonts w:hint="eastAsia" w:ascii="Times New Roman" w:hAnsi="Times New Roman" w:eastAsia="仿宋" w:cs="Times New Roman"/>
          <w:sz w:val="24"/>
          <w:szCs w:val="24"/>
          <w:highlight w:val="none"/>
          <w:lang w:val="en-US" w:eastAsia="zh-CN"/>
        </w:rPr>
        <w:t>本项目涉及企业资质、产品认证、人员执业资格、行业标准等描述与国家最新要求不一致时以国家最新要求为准。</w:t>
      </w:r>
    </w:p>
    <w:p w14:paraId="4AF491C3">
      <w:pPr>
        <w:rPr>
          <w:rFonts w:ascii="仿宋" w:hAnsi="仿宋" w:eastAsia="仿宋"/>
          <w:b/>
          <w:bCs w:val="0"/>
          <w:color w:val="000000"/>
          <w:sz w:val="36"/>
          <w:szCs w:val="36"/>
          <w:highlight w:val="none"/>
        </w:rPr>
      </w:pPr>
      <w:bookmarkStart w:id="31" w:name="_Toc26583"/>
      <w:bookmarkStart w:id="32" w:name="_Toc62832452"/>
      <w:bookmarkStart w:id="33" w:name="_Toc315963028"/>
      <w:bookmarkStart w:id="34" w:name="_Toc389231763"/>
      <w:bookmarkStart w:id="35" w:name="_Toc471310423"/>
      <w:bookmarkStart w:id="36" w:name="_Toc62832453"/>
      <w:r>
        <w:rPr>
          <w:rFonts w:ascii="仿宋" w:hAnsi="仿宋" w:eastAsia="仿宋"/>
          <w:b/>
          <w:bCs w:val="0"/>
          <w:color w:val="000000"/>
          <w:sz w:val="36"/>
          <w:szCs w:val="36"/>
          <w:highlight w:val="none"/>
        </w:rPr>
        <w:br w:type="page"/>
      </w:r>
    </w:p>
    <w:p w14:paraId="40352F0C">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仿宋" w:hAnsi="仿宋" w:eastAsia="仿宋"/>
          <w:bCs/>
          <w:color w:val="000000"/>
          <w:sz w:val="36"/>
          <w:szCs w:val="36"/>
          <w:highlight w:val="none"/>
          <w:lang w:eastAsia="zh-CN"/>
        </w:rPr>
      </w:pPr>
      <w:bookmarkStart w:id="37" w:name="_Toc22978"/>
      <w:r>
        <w:rPr>
          <w:rFonts w:ascii="仿宋" w:hAnsi="仿宋" w:eastAsia="仿宋"/>
          <w:b/>
          <w:bCs w:val="0"/>
          <w:color w:val="000000"/>
          <w:sz w:val="36"/>
          <w:szCs w:val="36"/>
          <w:highlight w:val="none"/>
        </w:rPr>
        <w:t>第</w:t>
      </w:r>
      <w:r>
        <w:rPr>
          <w:rFonts w:hint="eastAsia" w:ascii="仿宋" w:hAnsi="仿宋" w:eastAsia="仿宋"/>
          <w:b/>
          <w:bCs w:val="0"/>
          <w:color w:val="000000"/>
          <w:sz w:val="36"/>
          <w:szCs w:val="36"/>
          <w:highlight w:val="none"/>
        </w:rPr>
        <w:t>三</w:t>
      </w:r>
      <w:r>
        <w:rPr>
          <w:rFonts w:ascii="仿宋" w:hAnsi="仿宋" w:eastAsia="仿宋"/>
          <w:b/>
          <w:bCs w:val="0"/>
          <w:color w:val="000000"/>
          <w:sz w:val="36"/>
          <w:szCs w:val="36"/>
          <w:highlight w:val="none"/>
        </w:rPr>
        <w:t>章</w:t>
      </w:r>
      <w:r>
        <w:rPr>
          <w:rFonts w:hint="eastAsia" w:ascii="仿宋" w:hAnsi="仿宋" w:eastAsia="仿宋"/>
          <w:b/>
          <w:bCs w:val="0"/>
          <w:color w:val="000000"/>
          <w:sz w:val="36"/>
          <w:szCs w:val="36"/>
          <w:highlight w:val="none"/>
        </w:rPr>
        <w:t xml:space="preserve"> 资格</w:t>
      </w:r>
      <w:bookmarkEnd w:id="31"/>
      <w:bookmarkEnd w:id="32"/>
      <w:r>
        <w:rPr>
          <w:rFonts w:hint="eastAsia" w:ascii="仿宋" w:hAnsi="仿宋" w:eastAsia="仿宋"/>
          <w:b/>
          <w:bCs w:val="0"/>
          <w:color w:val="000000"/>
          <w:sz w:val="36"/>
          <w:szCs w:val="36"/>
          <w:highlight w:val="none"/>
          <w:lang w:val="en-US" w:eastAsia="zh-CN"/>
        </w:rPr>
        <w:t>审查</w:t>
      </w:r>
      <w:bookmarkEnd w:id="37"/>
    </w:p>
    <w:p w14:paraId="3569DEB3">
      <w:pPr>
        <w:widowControl/>
        <w:spacing w:line="360" w:lineRule="atLeast"/>
        <w:ind w:firstLine="470" w:firstLineChars="196"/>
        <w:rPr>
          <w:rFonts w:ascii="仿宋" w:hAnsi="仿宋" w:eastAsia="仿宋"/>
          <w:sz w:val="24"/>
          <w:highlight w:val="none"/>
        </w:rPr>
      </w:pP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424"/>
        <w:gridCol w:w="6038"/>
      </w:tblGrid>
      <w:tr w14:paraId="053A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trPr>
        <w:tc>
          <w:tcPr>
            <w:tcW w:w="388" w:type="pct"/>
            <w:vAlign w:val="center"/>
          </w:tcPr>
          <w:p w14:paraId="5BDD6F69">
            <w:pPr>
              <w:adjustRightInd w:val="0"/>
              <w:spacing w:line="300" w:lineRule="auto"/>
              <w:jc w:val="center"/>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序号</w:t>
            </w:r>
          </w:p>
        </w:tc>
        <w:tc>
          <w:tcPr>
            <w:tcW w:w="1321" w:type="pct"/>
            <w:vAlign w:val="center"/>
          </w:tcPr>
          <w:p w14:paraId="775E5644">
            <w:pPr>
              <w:adjustRightInd w:val="0"/>
              <w:spacing w:line="300" w:lineRule="auto"/>
              <w:jc w:val="center"/>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本项目的资格要求</w:t>
            </w:r>
          </w:p>
        </w:tc>
        <w:tc>
          <w:tcPr>
            <w:tcW w:w="3290" w:type="pct"/>
            <w:vAlign w:val="center"/>
          </w:tcPr>
          <w:p w14:paraId="084BC959">
            <w:pPr>
              <w:adjustRightInd w:val="0"/>
              <w:spacing w:line="300" w:lineRule="auto"/>
              <w:jc w:val="center"/>
              <w:rPr>
                <w:rFonts w:hint="default" w:ascii="Times New Roman" w:hAnsi="Times New Roman" w:eastAsia="仿宋" w:cs="Times New Roman"/>
                <w:b/>
                <w:sz w:val="24"/>
                <w:szCs w:val="24"/>
                <w:highlight w:val="none"/>
                <w:lang w:val="en-US"/>
              </w:rPr>
            </w:pPr>
            <w:r>
              <w:rPr>
                <w:rFonts w:hint="eastAsia" w:ascii="Times New Roman" w:hAnsi="Times New Roman" w:eastAsia="仿宋" w:cs="Times New Roman"/>
                <w:b/>
                <w:sz w:val="24"/>
                <w:szCs w:val="24"/>
                <w:highlight w:val="none"/>
                <w:lang w:val="en-US" w:eastAsia="zh-CN"/>
              </w:rPr>
              <w:t>通过条件</w:t>
            </w:r>
          </w:p>
        </w:tc>
      </w:tr>
      <w:tr w14:paraId="4E45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5" w:hRule="atLeast"/>
        </w:trPr>
        <w:tc>
          <w:tcPr>
            <w:tcW w:w="388" w:type="pct"/>
            <w:vAlign w:val="center"/>
          </w:tcPr>
          <w:p w14:paraId="328E7C0D">
            <w:pPr>
              <w:spacing w:line="360" w:lineRule="auto"/>
              <w:jc w:val="center"/>
              <w:rPr>
                <w:rFonts w:ascii="Times New Roman" w:hAnsi="Times New Roman" w:eastAsia="仿宋" w:cs="Times New Roman"/>
                <w:bCs/>
                <w:sz w:val="24"/>
                <w:szCs w:val="24"/>
                <w:highlight w:val="none"/>
              </w:rPr>
            </w:pPr>
            <w:r>
              <w:rPr>
                <w:rFonts w:ascii="仿宋" w:hAnsi="仿宋" w:eastAsia="仿宋"/>
                <w:b/>
                <w:color w:val="000000" w:themeColor="text1"/>
                <w:sz w:val="24"/>
                <w:szCs w:val="24"/>
                <w:highlight w:val="none"/>
                <w14:textFill>
                  <w14:solidFill>
                    <w14:schemeClr w14:val="tx1"/>
                  </w14:solidFill>
                </w14:textFill>
              </w:rPr>
              <w:t>1</w:t>
            </w:r>
          </w:p>
        </w:tc>
        <w:tc>
          <w:tcPr>
            <w:tcW w:w="1321" w:type="pct"/>
            <w:vAlign w:val="center"/>
          </w:tcPr>
          <w:p w14:paraId="07E020B0">
            <w:pPr>
              <w:spacing w:line="360" w:lineRule="auto"/>
              <w:jc w:val="center"/>
              <w:rPr>
                <w:rFonts w:ascii="Times New Roman" w:hAnsi="Times New Roman" w:eastAsia="仿宋" w:cs="Times New Roman"/>
                <w:bCs/>
                <w:sz w:val="24"/>
                <w:szCs w:val="24"/>
                <w:highlight w:val="none"/>
              </w:rPr>
            </w:pPr>
            <w:r>
              <w:rPr>
                <w:rFonts w:ascii="等线" w:hAnsi="等线" w:eastAsia="仿宋"/>
                <w:b/>
                <w:color w:val="000000" w:themeColor="text1"/>
                <w:sz w:val="24"/>
                <w:szCs w:val="24"/>
                <w:highlight w:val="none"/>
                <w14:textFill>
                  <w14:solidFill>
                    <w14:schemeClr w14:val="tx1"/>
                  </w14:solidFill>
                </w14:textFill>
              </w:rPr>
              <w:t>具有独立承担民事责任的能力</w:t>
            </w:r>
          </w:p>
        </w:tc>
        <w:tc>
          <w:tcPr>
            <w:tcW w:w="3290" w:type="pct"/>
            <w:vAlign w:val="center"/>
          </w:tcPr>
          <w:p w14:paraId="69F8B0EB">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（1）供应商若为企业法人：提供“统一社会信用代码营业执照”；未换证的提供“营业执照、税务登记证、组织机构代码证或三证合一的营业执照”；</w:t>
            </w:r>
          </w:p>
          <w:p w14:paraId="334B08E3">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（2）若为事业法人：提供“统一社会信用代码法人登记证书”；未换证的提交“事业法人登记证书、组织机构代码证”；</w:t>
            </w:r>
          </w:p>
          <w:p w14:paraId="1C1AE82C">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（3）若为其他组织：提供“对应主管部门颁发的准许执业证明文件或营业执照”；</w:t>
            </w:r>
          </w:p>
          <w:p w14:paraId="4AD24F61">
            <w:pPr>
              <w:adjustRightInd w:val="0"/>
              <w:spacing w:line="500" w:lineRule="exact"/>
              <w:jc w:val="left"/>
              <w:rPr>
                <w:rFonts w:hint="default" w:eastAsia="仿宋"/>
                <w:sz w:val="24"/>
                <w:szCs w:val="24"/>
                <w:highlight w:val="none"/>
                <w:lang w:val="en-US" w:eastAsia="zh-CN"/>
              </w:rPr>
            </w:pPr>
            <w:r>
              <w:rPr>
                <w:rFonts w:hint="eastAsia" w:ascii="仿宋" w:hAnsi="仿宋" w:eastAsia="仿宋"/>
                <w:bCs/>
                <w:sz w:val="24"/>
                <w:szCs w:val="24"/>
                <w:highlight w:val="none"/>
                <w:lang w:val="en-US" w:eastAsia="zh-CN"/>
              </w:rPr>
              <w:t>（4）若为自然人：提供“身份证明材料”；</w:t>
            </w:r>
          </w:p>
        </w:tc>
      </w:tr>
      <w:tr w14:paraId="0F38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0" w:hRule="atLeast"/>
        </w:trPr>
        <w:tc>
          <w:tcPr>
            <w:tcW w:w="388" w:type="pct"/>
            <w:vAlign w:val="center"/>
          </w:tcPr>
          <w:p w14:paraId="0E68000B">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2</w:t>
            </w:r>
          </w:p>
        </w:tc>
        <w:tc>
          <w:tcPr>
            <w:tcW w:w="1321" w:type="pct"/>
            <w:vAlign w:val="center"/>
          </w:tcPr>
          <w:p w14:paraId="05573E5C">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具有健全的财务会计制度</w:t>
            </w:r>
          </w:p>
        </w:tc>
        <w:tc>
          <w:tcPr>
            <w:tcW w:w="3290" w:type="pct"/>
            <w:vAlign w:val="center"/>
          </w:tcPr>
          <w:p w14:paraId="511C4A0F">
            <w:pPr>
              <w:adjustRightInd w:val="0"/>
              <w:spacing w:line="500" w:lineRule="exact"/>
              <w:jc w:val="left"/>
              <w:rPr>
                <w:rFonts w:hint="default" w:ascii="仿宋" w:hAnsi="仿宋" w:eastAsia="仿宋"/>
                <w:bCs/>
                <w:sz w:val="24"/>
                <w:szCs w:val="24"/>
                <w:highlight w:val="none"/>
                <w:lang w:val="en-US" w:eastAsia="zh-CN"/>
              </w:rPr>
            </w:pPr>
            <w:r>
              <w:rPr>
                <w:rFonts w:hint="eastAsia" w:ascii="仿宋" w:hAnsi="仿宋" w:eastAsia="仿宋"/>
                <w:b/>
                <w:color w:val="000000" w:themeColor="text1"/>
                <w:sz w:val="24"/>
                <w:szCs w:val="24"/>
                <w:highlight w:val="none"/>
                <w:lang w:eastAsia="zh-CN"/>
                <w14:textFill>
                  <w14:solidFill>
                    <w14:schemeClr w14:val="tx1"/>
                  </w14:solidFill>
                </w14:textFill>
              </w:rPr>
              <w:t>供应商根据自身情况选择提供其中任意一项：</w:t>
            </w:r>
          </w:p>
          <w:p w14:paraId="201B5472">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（1）可提供2022</w:t>
            </w:r>
            <w:r>
              <w:rPr>
                <w:rFonts w:hint="eastAsia" w:ascii="仿宋" w:hAnsi="仿宋" w:eastAsia="仿宋" w:cs="Times New Roman"/>
                <w:bCs/>
                <w:sz w:val="24"/>
                <w:szCs w:val="24"/>
                <w:highlight w:val="none"/>
                <w:lang w:val="en-US" w:eastAsia="zh-CN"/>
              </w:rPr>
              <w:t>或2023</w:t>
            </w:r>
            <w:r>
              <w:rPr>
                <w:rFonts w:hint="eastAsia" w:ascii="仿宋" w:hAnsi="仿宋" w:eastAsia="仿宋"/>
                <w:bCs/>
                <w:sz w:val="24"/>
                <w:szCs w:val="24"/>
                <w:highlight w:val="none"/>
                <w:lang w:val="en-US" w:eastAsia="zh-CN"/>
              </w:rPr>
              <w:t>年度经审计的财务报告复印件（包含审计报告和审计报告中所涉及的财务报表和报表附注）；</w:t>
            </w:r>
          </w:p>
          <w:p w14:paraId="6296E1CE">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（2）也可提供截至提交首次响应文件截止日一年内银行出具的资信证明（复印件）；</w:t>
            </w:r>
          </w:p>
          <w:p w14:paraId="35B58C6F">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（3）供应商注册时间截至提交首次响应文件截止日不足一年的，也可提供工商管理部门备案的公司章程（复印件）；</w:t>
            </w:r>
          </w:p>
          <w:p w14:paraId="4899F4EA">
            <w:pPr>
              <w:adjustRightInd w:val="0"/>
              <w:spacing w:line="500" w:lineRule="exact"/>
              <w:jc w:val="left"/>
              <w:rPr>
                <w:rFonts w:ascii="Times New Roman" w:hAnsi="Times New Roman" w:eastAsia="仿宋" w:cs="Times New Roman"/>
                <w:bCs/>
                <w:sz w:val="24"/>
                <w:szCs w:val="24"/>
                <w:highlight w:val="none"/>
              </w:rPr>
            </w:pPr>
            <w:r>
              <w:rPr>
                <w:rFonts w:hint="eastAsia" w:ascii="仿宋" w:hAnsi="仿宋" w:eastAsia="仿宋"/>
                <w:bCs/>
                <w:sz w:val="24"/>
                <w:szCs w:val="24"/>
                <w:highlight w:val="none"/>
                <w:lang w:val="en-US" w:eastAsia="zh-CN"/>
              </w:rPr>
              <w:t>（4）供应商也可提供承诺函</w:t>
            </w:r>
          </w:p>
        </w:tc>
      </w:tr>
      <w:tr w14:paraId="0B8F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4FF83BA4">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3</w:t>
            </w:r>
          </w:p>
        </w:tc>
        <w:tc>
          <w:tcPr>
            <w:tcW w:w="1321" w:type="pct"/>
            <w:vAlign w:val="center"/>
          </w:tcPr>
          <w:p w14:paraId="273FA047">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具有良好的商业信誉</w:t>
            </w:r>
            <w:r>
              <w:rPr>
                <w:rFonts w:hint="eastAsia" w:ascii="仿宋" w:hAnsi="仿宋" w:eastAsia="仿宋"/>
                <w:b/>
                <w:color w:val="000000" w:themeColor="text1"/>
                <w:sz w:val="24"/>
                <w:szCs w:val="24"/>
                <w:highlight w:val="none"/>
                <w:lang w:eastAsia="zh-CN"/>
                <w14:textFill>
                  <w14:solidFill>
                    <w14:schemeClr w14:val="tx1"/>
                  </w14:solidFill>
                </w14:textFill>
              </w:rPr>
              <w:t>和</w:t>
            </w:r>
            <w:r>
              <w:rPr>
                <w:rFonts w:ascii="仿宋" w:hAnsi="仿宋" w:eastAsia="仿宋"/>
                <w:b/>
                <w:color w:val="000000" w:themeColor="text1"/>
                <w:sz w:val="24"/>
                <w:szCs w:val="24"/>
                <w:highlight w:val="none"/>
                <w14:textFill>
                  <w14:solidFill>
                    <w14:schemeClr w14:val="tx1"/>
                  </w14:solidFill>
                </w14:textFill>
              </w:rPr>
              <w:t>履行合同所必需的设备和专业技术能力</w:t>
            </w:r>
          </w:p>
        </w:tc>
        <w:tc>
          <w:tcPr>
            <w:tcW w:w="3290" w:type="pct"/>
            <w:vMerge w:val="restart"/>
            <w:vAlign w:val="center"/>
          </w:tcPr>
          <w:p w14:paraId="15A64D4F">
            <w:pPr>
              <w:adjustRightInd w:val="0"/>
              <w:spacing w:line="300" w:lineRule="auto"/>
              <w:jc w:val="center"/>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lang w:val="en-US" w:eastAsia="zh-CN"/>
              </w:rPr>
              <w:t>统一</w:t>
            </w:r>
            <w:r>
              <w:rPr>
                <w:rFonts w:ascii="Times New Roman" w:hAnsi="Times New Roman" w:eastAsia="仿宋" w:cs="Times New Roman"/>
                <w:bCs/>
                <w:sz w:val="24"/>
                <w:szCs w:val="24"/>
                <w:highlight w:val="none"/>
              </w:rPr>
              <w:t>提供承诺函</w:t>
            </w:r>
          </w:p>
          <w:p w14:paraId="73097235">
            <w:pPr>
              <w:adjustRightInd w:val="0"/>
              <w:spacing w:line="300" w:lineRule="auto"/>
              <w:jc w:val="center"/>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lang w:eastAsia="zh-CN"/>
              </w:rPr>
              <w:t>（格式</w:t>
            </w:r>
            <w:r>
              <w:rPr>
                <w:rFonts w:hint="eastAsia" w:ascii="Times New Roman" w:hAnsi="Times New Roman" w:eastAsia="仿宋" w:cs="Times New Roman"/>
                <w:bCs/>
                <w:sz w:val="24"/>
                <w:szCs w:val="24"/>
                <w:highlight w:val="none"/>
                <w:lang w:val="en-US" w:eastAsia="zh-CN"/>
              </w:rPr>
              <w:t>详见第六章“资格性响应文件”中“承诺函”）</w:t>
            </w:r>
          </w:p>
        </w:tc>
      </w:tr>
      <w:tr w14:paraId="5B0E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3421A9D6">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4</w:t>
            </w:r>
          </w:p>
        </w:tc>
        <w:tc>
          <w:tcPr>
            <w:tcW w:w="1321" w:type="pct"/>
            <w:vAlign w:val="center"/>
          </w:tcPr>
          <w:p w14:paraId="2280EA62">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有依法缴纳税收和社会保障资金的良好记录</w:t>
            </w:r>
          </w:p>
        </w:tc>
        <w:tc>
          <w:tcPr>
            <w:tcW w:w="3290" w:type="pct"/>
            <w:vMerge w:val="continue"/>
            <w:vAlign w:val="center"/>
          </w:tcPr>
          <w:p w14:paraId="6192AA3F">
            <w:pPr>
              <w:adjustRightInd w:val="0"/>
              <w:spacing w:line="300" w:lineRule="auto"/>
              <w:rPr>
                <w:rFonts w:ascii="Times New Roman" w:hAnsi="Times New Roman" w:eastAsia="仿宋" w:cs="Times New Roman"/>
                <w:bCs/>
                <w:sz w:val="24"/>
                <w:szCs w:val="24"/>
                <w:highlight w:val="none"/>
              </w:rPr>
            </w:pPr>
          </w:p>
        </w:tc>
      </w:tr>
      <w:tr w14:paraId="67A8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388" w:type="pct"/>
            <w:vAlign w:val="center"/>
          </w:tcPr>
          <w:p w14:paraId="08516635">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5</w:t>
            </w:r>
          </w:p>
        </w:tc>
        <w:tc>
          <w:tcPr>
            <w:tcW w:w="1321" w:type="pct"/>
            <w:vAlign w:val="center"/>
          </w:tcPr>
          <w:p w14:paraId="782EB769">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参加本次采购活动前三年内，在经营活动中没有重大违法记录</w:t>
            </w:r>
          </w:p>
        </w:tc>
        <w:tc>
          <w:tcPr>
            <w:tcW w:w="3290" w:type="pct"/>
            <w:vMerge w:val="continue"/>
            <w:vAlign w:val="center"/>
          </w:tcPr>
          <w:p w14:paraId="180F9212">
            <w:pPr>
              <w:adjustRightInd w:val="0"/>
              <w:spacing w:line="300" w:lineRule="auto"/>
              <w:rPr>
                <w:rFonts w:ascii="Times New Roman" w:hAnsi="Times New Roman" w:eastAsia="仿宋" w:cs="Times New Roman"/>
                <w:bCs/>
                <w:sz w:val="24"/>
                <w:szCs w:val="24"/>
                <w:highlight w:val="none"/>
              </w:rPr>
            </w:pPr>
          </w:p>
        </w:tc>
      </w:tr>
      <w:tr w14:paraId="12D2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388" w:type="pct"/>
            <w:vAlign w:val="center"/>
          </w:tcPr>
          <w:p w14:paraId="4F197559">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6</w:t>
            </w:r>
          </w:p>
        </w:tc>
        <w:tc>
          <w:tcPr>
            <w:tcW w:w="1321" w:type="pct"/>
            <w:vAlign w:val="center"/>
          </w:tcPr>
          <w:p w14:paraId="2EFA4F85">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法律、行政法规规定的其他条件</w:t>
            </w:r>
          </w:p>
        </w:tc>
        <w:tc>
          <w:tcPr>
            <w:tcW w:w="3290" w:type="pct"/>
            <w:vMerge w:val="continue"/>
            <w:vAlign w:val="center"/>
          </w:tcPr>
          <w:p w14:paraId="05D25321">
            <w:pPr>
              <w:adjustRightInd w:val="0"/>
              <w:spacing w:line="300" w:lineRule="auto"/>
              <w:rPr>
                <w:rFonts w:ascii="Times New Roman" w:hAnsi="Times New Roman" w:eastAsia="仿宋" w:cs="Times New Roman"/>
                <w:bCs/>
                <w:sz w:val="24"/>
                <w:szCs w:val="24"/>
                <w:highlight w:val="none"/>
              </w:rPr>
            </w:pPr>
          </w:p>
        </w:tc>
      </w:tr>
      <w:tr w14:paraId="6777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4B8F178D">
            <w:pPr>
              <w:spacing w:line="360" w:lineRule="auto"/>
              <w:jc w:val="center"/>
              <w:rPr>
                <w:rFonts w:hint="default" w:ascii="仿宋" w:hAnsi="仿宋" w:eastAsia="仿宋"/>
                <w:b/>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7</w:t>
            </w:r>
          </w:p>
        </w:tc>
        <w:tc>
          <w:tcPr>
            <w:tcW w:w="2424" w:type="dxa"/>
            <w:vAlign w:val="center"/>
          </w:tcPr>
          <w:p w14:paraId="5F56135E">
            <w:pPr>
              <w:spacing w:line="360" w:lineRule="auto"/>
              <w:jc w:val="left"/>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其他类似效力要求：</w:t>
            </w:r>
          </w:p>
          <w:p w14:paraId="7B0BB627">
            <w:pPr>
              <w:spacing w:line="360" w:lineRule="auto"/>
              <w:jc w:val="left"/>
              <w:rPr>
                <w:rFonts w:hint="eastAsia" w:ascii="仿宋" w:hAnsi="仿宋" w:eastAsia="仿宋"/>
                <w:b/>
                <w:color w:val="000000" w:themeColor="text1"/>
                <w:sz w:val="24"/>
                <w:szCs w:val="24"/>
                <w:highlight w:val="none"/>
                <w:lang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1.</w:t>
            </w:r>
            <w:r>
              <w:rPr>
                <w:rFonts w:hint="eastAsia" w:ascii="仿宋" w:hAnsi="仿宋" w:eastAsia="仿宋"/>
                <w:b/>
                <w:color w:val="000000" w:themeColor="text1"/>
                <w:sz w:val="24"/>
                <w:szCs w:val="24"/>
                <w:highlight w:val="none"/>
                <w14:textFill>
                  <w14:solidFill>
                    <w14:schemeClr w14:val="tx1"/>
                  </w14:solidFill>
                </w14:textFill>
              </w:rPr>
              <w:t>授权参加本次</w:t>
            </w:r>
            <w:r>
              <w:rPr>
                <w:rFonts w:hint="eastAsia" w:ascii="仿宋" w:hAnsi="仿宋" w:eastAsia="仿宋"/>
                <w:b/>
                <w:color w:val="000000" w:themeColor="text1"/>
                <w:sz w:val="24"/>
                <w:szCs w:val="24"/>
                <w:highlight w:val="none"/>
                <w:lang w:eastAsia="zh-CN"/>
                <w14:textFill>
                  <w14:solidFill>
                    <w14:schemeClr w14:val="tx1"/>
                  </w14:solidFill>
                </w14:textFill>
              </w:rPr>
              <w:t>采购</w:t>
            </w:r>
            <w:r>
              <w:rPr>
                <w:rFonts w:hint="eastAsia" w:ascii="仿宋" w:hAnsi="仿宋" w:eastAsia="仿宋"/>
                <w:b/>
                <w:color w:val="000000" w:themeColor="text1"/>
                <w:sz w:val="24"/>
                <w:szCs w:val="24"/>
                <w:highlight w:val="none"/>
                <w14:textFill>
                  <w14:solidFill>
                    <w14:schemeClr w14:val="tx1"/>
                  </w14:solidFill>
                </w14:textFill>
              </w:rPr>
              <w:t>活动的供应商代表证明</w:t>
            </w:r>
            <w:r>
              <w:rPr>
                <w:rFonts w:hint="eastAsia" w:ascii="仿宋" w:hAnsi="仿宋" w:eastAsia="仿宋"/>
                <w:b/>
                <w:color w:val="000000" w:themeColor="text1"/>
                <w:sz w:val="24"/>
                <w:szCs w:val="24"/>
                <w:highlight w:val="none"/>
                <w:lang w:eastAsia="zh-CN"/>
                <w14:textFill>
                  <w14:solidFill>
                    <w14:schemeClr w14:val="tx1"/>
                  </w14:solidFill>
                </w14:textFill>
              </w:rPr>
              <w:t>；</w:t>
            </w:r>
          </w:p>
          <w:p w14:paraId="69283278">
            <w:pPr>
              <w:spacing w:line="360" w:lineRule="auto"/>
              <w:jc w:val="left"/>
              <w:rPr>
                <w:rFonts w:hint="eastAsia" w:ascii="仿宋" w:hAnsi="仿宋" w:eastAsia="仿宋"/>
                <w:b/>
                <w:color w:val="000000" w:themeColor="text1"/>
                <w:sz w:val="24"/>
                <w:szCs w:val="24"/>
                <w:highlight w:val="none"/>
                <w:lang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2.</w:t>
            </w:r>
            <w:r>
              <w:rPr>
                <w:rFonts w:hint="eastAsia" w:ascii="仿宋" w:hAnsi="仿宋" w:eastAsia="仿宋"/>
                <w:b/>
                <w:color w:val="000000" w:themeColor="text1"/>
                <w:sz w:val="24"/>
                <w:szCs w:val="24"/>
                <w:highlight w:val="none"/>
                <w:lang w:eastAsia="zh-CN"/>
                <w14:textFill>
                  <w14:solidFill>
                    <w14:schemeClr w14:val="tx1"/>
                  </w14:solidFill>
                </w14:textFill>
              </w:rPr>
              <w:t>交纳磋商保证金；</w:t>
            </w:r>
          </w:p>
          <w:p w14:paraId="29045C7B">
            <w:pPr>
              <w:spacing w:line="360" w:lineRule="auto"/>
              <w:jc w:val="left"/>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3.按照规定获取了采购文件</w:t>
            </w:r>
          </w:p>
        </w:tc>
        <w:tc>
          <w:tcPr>
            <w:tcW w:w="6038" w:type="dxa"/>
            <w:vAlign w:val="center"/>
          </w:tcPr>
          <w:p w14:paraId="0FAC85C8">
            <w:pPr>
              <w:adjustRightInd w:val="0"/>
              <w:spacing w:line="500" w:lineRule="exact"/>
              <w:jc w:val="left"/>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1.供应商根据自身情况选择提供其中任意一项：</w:t>
            </w:r>
          </w:p>
          <w:p w14:paraId="04F916B4">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（1）供应商代表为“授权代表”时，提供授权委托书；</w:t>
            </w:r>
          </w:p>
          <w:p w14:paraId="565E676C">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（2）供应商代表为“法定代表人（单位负责人）”时，提供法定代表人（单位负责人）身份证明；</w:t>
            </w:r>
          </w:p>
          <w:p w14:paraId="198C2909">
            <w:pPr>
              <w:adjustRightInd w:val="0"/>
              <w:spacing w:line="500" w:lineRule="exact"/>
              <w:jc w:val="left"/>
              <w:rPr>
                <w:rFonts w:hint="eastAsia" w:ascii="Times New Roman" w:hAnsi="Times New Roman" w:eastAsia="仿宋" w:cs="Times New Roman"/>
                <w:bCs/>
                <w:sz w:val="24"/>
                <w:szCs w:val="24"/>
                <w:highlight w:val="none"/>
                <w:lang w:val="en-US" w:eastAsia="zh-CN"/>
              </w:rPr>
            </w:pPr>
            <w:r>
              <w:rPr>
                <w:rFonts w:hint="eastAsia" w:ascii="Times New Roman" w:hAnsi="Times New Roman" w:eastAsia="仿宋" w:cs="Times New Roman"/>
                <w:bCs/>
                <w:sz w:val="24"/>
                <w:szCs w:val="24"/>
                <w:highlight w:val="none"/>
                <w:lang w:eastAsia="zh-CN"/>
              </w:rPr>
              <w:t>（</w:t>
            </w:r>
            <w:r>
              <w:rPr>
                <w:rFonts w:hint="eastAsia" w:ascii="Times New Roman" w:hAnsi="Times New Roman" w:eastAsia="仿宋" w:cs="Times New Roman"/>
                <w:bCs/>
                <w:sz w:val="24"/>
                <w:szCs w:val="24"/>
                <w:highlight w:val="none"/>
                <w:lang w:val="en-US" w:eastAsia="zh-CN"/>
              </w:rPr>
              <w:t>格式详见第六章“资格性响应文件”）</w:t>
            </w:r>
          </w:p>
          <w:p w14:paraId="35D6BE07">
            <w:pPr>
              <w:numPr>
                <w:ilvl w:val="0"/>
                <w:numId w:val="0"/>
              </w:num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
                <w:bCs w:val="0"/>
                <w:sz w:val="24"/>
                <w:szCs w:val="24"/>
                <w:highlight w:val="none"/>
                <w:lang w:val="en-US" w:eastAsia="zh-CN"/>
              </w:rPr>
              <w:t>2.交纳磋商保证金：</w:t>
            </w:r>
            <w:r>
              <w:rPr>
                <w:rFonts w:hint="eastAsia" w:ascii="仿宋" w:hAnsi="仿宋" w:eastAsia="仿宋"/>
                <w:bCs/>
                <w:sz w:val="24"/>
                <w:szCs w:val="24"/>
                <w:highlight w:val="none"/>
                <w:lang w:val="en-US" w:eastAsia="zh-CN"/>
              </w:rPr>
              <w:t>供应商已交纳磋商保证金的凭证（若涉及）；</w:t>
            </w:r>
          </w:p>
          <w:p w14:paraId="6AD3BFF5">
            <w:pPr>
              <w:numPr>
                <w:ilvl w:val="0"/>
                <w:numId w:val="0"/>
              </w:numPr>
              <w:adjustRightInd w:val="0"/>
              <w:spacing w:line="500" w:lineRule="exact"/>
              <w:ind w:left="0" w:leftChars="0" w:firstLine="0" w:firstLineChars="0"/>
              <w:jc w:val="left"/>
              <w:rPr>
                <w:rFonts w:hint="eastAsia" w:ascii="Times New Roman" w:hAnsi="Times New Roman" w:eastAsia="仿宋" w:cs="Times New Roman"/>
                <w:bCs/>
                <w:sz w:val="24"/>
                <w:szCs w:val="24"/>
                <w:highlight w:val="none"/>
                <w:lang w:val="en-US" w:eastAsia="zh-CN"/>
              </w:rPr>
            </w:pPr>
            <w:r>
              <w:rPr>
                <w:rFonts w:hint="eastAsia" w:ascii="仿宋" w:hAnsi="仿宋" w:eastAsia="仿宋"/>
                <w:b/>
                <w:color w:val="000000" w:themeColor="text1"/>
                <w:sz w:val="24"/>
                <w:szCs w:val="24"/>
                <w:highlight w:val="none"/>
                <w:lang w:val="en-US" w:eastAsia="zh-CN"/>
                <w14:textFill>
                  <w14:solidFill>
                    <w14:schemeClr w14:val="tx1"/>
                  </w14:solidFill>
                </w14:textFill>
              </w:rPr>
              <w:t>3.按照规定获取了采购文件：</w:t>
            </w:r>
            <w:r>
              <w:rPr>
                <w:rFonts w:hint="default" w:ascii="仿宋" w:hAnsi="仿宋" w:eastAsia="仿宋"/>
                <w:bCs/>
                <w:sz w:val="24"/>
                <w:szCs w:val="24"/>
                <w:highlight w:val="none"/>
                <w:lang w:val="en-US" w:eastAsia="zh-CN"/>
              </w:rPr>
              <w:t>本项由采购代理机构提供材料，供应商无需提供证明材料</w:t>
            </w:r>
          </w:p>
        </w:tc>
      </w:tr>
      <w:tr w14:paraId="0EF9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1173B703">
            <w:pPr>
              <w:spacing w:line="360" w:lineRule="auto"/>
              <w:jc w:val="center"/>
              <w:rPr>
                <w:rFonts w:hint="default" w:ascii="仿宋" w:hAnsi="仿宋" w:eastAsia="仿宋"/>
                <w:b/>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8</w:t>
            </w:r>
          </w:p>
        </w:tc>
        <w:tc>
          <w:tcPr>
            <w:tcW w:w="2424" w:type="dxa"/>
            <w:vAlign w:val="center"/>
          </w:tcPr>
          <w:p w14:paraId="5A7E6B36">
            <w:pPr>
              <w:spacing w:line="360" w:lineRule="auto"/>
              <w:jc w:val="left"/>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eastAsia="zh-CN"/>
                <w14:textFill>
                  <w14:solidFill>
                    <w14:schemeClr w14:val="tx1"/>
                  </w14:solidFill>
                </w14:textFill>
              </w:rPr>
              <w:t>是否属于禁止参加本次采购活动的供应商</w:t>
            </w:r>
          </w:p>
        </w:tc>
        <w:tc>
          <w:tcPr>
            <w:tcW w:w="6038" w:type="dxa"/>
            <w:vAlign w:val="center"/>
          </w:tcPr>
          <w:p w14:paraId="3ED75B6C">
            <w:pPr>
              <w:adjustRightInd w:val="0"/>
              <w:spacing w:line="500" w:lineRule="exact"/>
              <w:jc w:val="left"/>
              <w:rPr>
                <w:rFonts w:hint="eastAsia" w:ascii="仿宋" w:hAnsi="仿宋" w:eastAsia="仿宋"/>
                <w:b/>
                <w:bCs w:val="0"/>
                <w:sz w:val="24"/>
                <w:szCs w:val="22"/>
                <w:highlight w:val="none"/>
                <w:lang w:val="en-US" w:eastAsia="zh-CN"/>
              </w:rPr>
            </w:pPr>
            <w:r>
              <w:rPr>
                <w:rFonts w:hint="eastAsia" w:ascii="仿宋" w:hAnsi="仿宋" w:eastAsia="仿宋"/>
                <w:b/>
                <w:bCs w:val="0"/>
                <w:sz w:val="24"/>
                <w:szCs w:val="22"/>
                <w:highlight w:val="none"/>
                <w:lang w:val="en-US" w:eastAsia="zh-CN"/>
              </w:rPr>
              <w:t>1.信用查询：</w:t>
            </w:r>
          </w:p>
          <w:p w14:paraId="0042EFBD">
            <w:pPr>
              <w:adjustRightInd w:val="0"/>
              <w:spacing w:line="500" w:lineRule="exact"/>
              <w:jc w:val="left"/>
              <w:rPr>
                <w:rFonts w:hint="eastAsia" w:ascii="仿宋" w:hAnsi="仿宋" w:eastAsia="仿宋"/>
                <w:bCs/>
                <w:sz w:val="24"/>
                <w:szCs w:val="22"/>
                <w:highlight w:val="none"/>
                <w:lang w:val="en-US" w:eastAsia="zh-CN"/>
              </w:rPr>
            </w:pPr>
            <w:r>
              <w:rPr>
                <w:rFonts w:hint="eastAsia" w:ascii="仿宋" w:hAnsi="仿宋" w:eastAsia="仿宋"/>
                <w:bCs/>
                <w:sz w:val="24"/>
                <w:szCs w:val="22"/>
                <w:highlight w:val="none"/>
                <w:lang w:val="en-US" w:eastAsia="zh-CN"/>
              </w:rPr>
              <w:t>（1）本项目资格审查时，采购代理机构将通过信用中国（www.creditchina.gov.cn）和中国政府采购网（www.ccgp.gov.cn）对供应商进行信用记录查询；</w:t>
            </w:r>
          </w:p>
          <w:p w14:paraId="0C38954B">
            <w:pPr>
              <w:adjustRightInd w:val="0"/>
              <w:spacing w:line="500" w:lineRule="exact"/>
              <w:jc w:val="left"/>
              <w:rPr>
                <w:rFonts w:hint="eastAsia" w:ascii="仿宋" w:hAnsi="仿宋" w:eastAsia="仿宋"/>
                <w:bCs/>
                <w:sz w:val="24"/>
                <w:szCs w:val="22"/>
                <w:highlight w:val="none"/>
                <w:lang w:val="en-US" w:eastAsia="zh-CN"/>
              </w:rPr>
            </w:pPr>
            <w:r>
              <w:rPr>
                <w:rFonts w:hint="eastAsia" w:ascii="仿宋" w:hAnsi="仿宋" w:eastAsia="仿宋"/>
                <w:bCs/>
                <w:sz w:val="24"/>
                <w:szCs w:val="22"/>
                <w:highlight w:val="none"/>
                <w:lang w:val="en-US" w:eastAsia="zh-CN"/>
              </w:rPr>
              <w:t>（2）查询记录和证据留存的具体方式：与采购文件一并保存；</w:t>
            </w:r>
          </w:p>
          <w:p w14:paraId="421A6AE0">
            <w:pPr>
              <w:adjustRightInd w:val="0"/>
              <w:spacing w:line="500" w:lineRule="exact"/>
              <w:jc w:val="left"/>
              <w:rPr>
                <w:rFonts w:hint="eastAsia" w:ascii="仿宋" w:hAnsi="仿宋" w:eastAsia="仿宋"/>
                <w:bCs/>
                <w:sz w:val="24"/>
                <w:szCs w:val="22"/>
                <w:highlight w:val="none"/>
                <w:lang w:val="en-US" w:eastAsia="zh-CN"/>
              </w:rPr>
            </w:pPr>
            <w:r>
              <w:rPr>
                <w:rFonts w:hint="eastAsia" w:ascii="仿宋" w:hAnsi="仿宋" w:eastAsia="仿宋"/>
                <w:bCs/>
                <w:sz w:val="24"/>
                <w:szCs w:val="22"/>
                <w:highlight w:val="none"/>
                <w:lang w:val="en-US" w:eastAsia="zh-CN"/>
              </w:rPr>
              <w:t>（3）使用规则：对列入失信被执行人、重大税收违法案件当事人名单、政府采购严重违法失信行为记录名单的供应商，资格审查不予通过</w:t>
            </w:r>
          </w:p>
          <w:p w14:paraId="38C7F643">
            <w:pPr>
              <w:adjustRightInd w:val="0"/>
              <w:spacing w:line="500" w:lineRule="exact"/>
              <w:jc w:val="left"/>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注：本项由采购代理机构提供查询材料，供应商无需提供证明材料</w:t>
            </w:r>
          </w:p>
          <w:p w14:paraId="360FDC99">
            <w:pPr>
              <w:adjustRightInd w:val="0"/>
              <w:spacing w:line="500" w:lineRule="exact"/>
              <w:jc w:val="left"/>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2.单位负责人为同一人或者存在直接控股、管理关系的不同供应商不得参加同一合同项下的采购活动</w:t>
            </w:r>
          </w:p>
          <w:p w14:paraId="161BFDFB">
            <w:pPr>
              <w:adjustRightInd w:val="0"/>
              <w:spacing w:line="500" w:lineRule="exact"/>
              <w:jc w:val="left"/>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lang w:eastAsia="zh-CN"/>
              </w:rPr>
              <w:t>统一</w:t>
            </w:r>
            <w:r>
              <w:rPr>
                <w:rFonts w:ascii="Times New Roman" w:hAnsi="Times New Roman" w:eastAsia="仿宋" w:cs="Times New Roman"/>
                <w:bCs/>
                <w:sz w:val="24"/>
                <w:szCs w:val="24"/>
                <w:highlight w:val="none"/>
              </w:rPr>
              <w:t>提供承诺函</w:t>
            </w:r>
          </w:p>
          <w:p w14:paraId="4149C26F">
            <w:pPr>
              <w:adjustRightInd w:val="0"/>
              <w:spacing w:line="500" w:lineRule="exact"/>
              <w:jc w:val="left"/>
              <w:rPr>
                <w:rFonts w:hint="eastAsia" w:ascii="Times New Roman" w:hAnsi="Times New Roman" w:eastAsia="仿宋" w:cs="Times New Roman"/>
                <w:bCs/>
                <w:sz w:val="24"/>
                <w:szCs w:val="24"/>
                <w:highlight w:val="none"/>
                <w:lang w:val="en-US" w:eastAsia="zh-CN"/>
              </w:rPr>
            </w:pPr>
            <w:r>
              <w:rPr>
                <w:rFonts w:hint="eastAsia" w:ascii="Times New Roman" w:hAnsi="Times New Roman" w:eastAsia="仿宋" w:cs="Times New Roman"/>
                <w:bCs/>
                <w:sz w:val="24"/>
                <w:szCs w:val="24"/>
                <w:highlight w:val="none"/>
                <w:lang w:eastAsia="zh-CN"/>
              </w:rPr>
              <w:t>（</w:t>
            </w:r>
            <w:r>
              <w:rPr>
                <w:rFonts w:hint="eastAsia" w:ascii="Times New Roman" w:hAnsi="Times New Roman" w:eastAsia="仿宋" w:cs="Times New Roman"/>
                <w:bCs/>
                <w:sz w:val="24"/>
                <w:szCs w:val="24"/>
                <w:highlight w:val="none"/>
                <w:lang w:val="en-US" w:eastAsia="zh-CN"/>
              </w:rPr>
              <w:t>格式详见第六章“资格性响应文件”中“承诺函”）</w:t>
            </w:r>
          </w:p>
          <w:p w14:paraId="66D04241">
            <w:pPr>
              <w:adjustRightInd w:val="0"/>
              <w:spacing w:line="500" w:lineRule="exact"/>
              <w:jc w:val="left"/>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3.为采购项目提供整体设计、规范编制或者项目管理、监理、检测等服务的供应商，不得再参加该采购项目的其他采购活动</w:t>
            </w:r>
          </w:p>
          <w:p w14:paraId="35623285">
            <w:pPr>
              <w:adjustRightInd w:val="0"/>
              <w:spacing w:line="500" w:lineRule="exact"/>
              <w:jc w:val="left"/>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lang w:eastAsia="zh-CN"/>
              </w:rPr>
              <w:t>统一</w:t>
            </w:r>
            <w:r>
              <w:rPr>
                <w:rFonts w:ascii="Times New Roman" w:hAnsi="Times New Roman" w:eastAsia="仿宋" w:cs="Times New Roman"/>
                <w:bCs/>
                <w:sz w:val="24"/>
                <w:szCs w:val="24"/>
                <w:highlight w:val="none"/>
              </w:rPr>
              <w:t>提供承诺函</w:t>
            </w:r>
          </w:p>
          <w:p w14:paraId="1CDBF0C2">
            <w:pPr>
              <w:adjustRightInd w:val="0"/>
              <w:spacing w:line="500" w:lineRule="exact"/>
              <w:jc w:val="left"/>
              <w:rPr>
                <w:rFonts w:hint="eastAsia" w:ascii="仿宋" w:hAnsi="仿宋" w:eastAsia="仿宋"/>
                <w:b/>
                <w:bCs w:val="0"/>
                <w:sz w:val="24"/>
                <w:szCs w:val="24"/>
                <w:highlight w:val="none"/>
                <w:lang w:val="en-US" w:eastAsia="zh-CN"/>
              </w:rPr>
            </w:pPr>
            <w:r>
              <w:rPr>
                <w:rFonts w:hint="eastAsia" w:ascii="Times New Roman" w:hAnsi="Times New Roman" w:eastAsia="仿宋" w:cs="Times New Roman"/>
                <w:bCs/>
                <w:sz w:val="24"/>
                <w:szCs w:val="24"/>
                <w:highlight w:val="none"/>
                <w:lang w:eastAsia="zh-CN"/>
              </w:rPr>
              <w:t>（</w:t>
            </w:r>
            <w:r>
              <w:rPr>
                <w:rFonts w:hint="eastAsia" w:ascii="Times New Roman" w:hAnsi="Times New Roman" w:eastAsia="仿宋" w:cs="Times New Roman"/>
                <w:bCs/>
                <w:sz w:val="24"/>
                <w:szCs w:val="24"/>
                <w:highlight w:val="none"/>
                <w:lang w:val="en-US" w:eastAsia="zh-CN"/>
              </w:rPr>
              <w:t>格式详见第六章“资格性响应文件”中“承诺函”）</w:t>
            </w:r>
            <w:r>
              <w:rPr>
                <w:rFonts w:hint="eastAsia" w:ascii="仿宋" w:hAnsi="仿宋" w:eastAsia="仿宋"/>
                <w:b/>
                <w:bCs w:val="0"/>
                <w:sz w:val="24"/>
                <w:szCs w:val="24"/>
                <w:highlight w:val="none"/>
                <w:lang w:val="en-US" w:eastAsia="zh-CN"/>
              </w:rPr>
              <w:t>4.供应商应通过国家企业信用信息公示系统（https://shiming.gsxt.gov.cn），选择“企业信用信息”进行查询，并提供查询截图，若参与供应商提供的查询截图中“股东及出资信息”“主要人员信息”存在关联关系，资格审查不予通过</w:t>
            </w:r>
          </w:p>
          <w:p w14:paraId="10ED7BA0">
            <w:pPr>
              <w:adjustRightInd w:val="0"/>
              <w:spacing w:line="500" w:lineRule="exact"/>
              <w:jc w:val="left"/>
              <w:rPr>
                <w:rFonts w:hint="eastAsia" w:ascii="仿宋" w:hAnsi="仿宋" w:eastAsia="仿宋"/>
                <w:bCs/>
                <w:sz w:val="24"/>
                <w:szCs w:val="24"/>
                <w:highlight w:val="none"/>
                <w:lang w:val="en-US" w:eastAsia="zh-CN"/>
              </w:rPr>
            </w:pPr>
            <w:r>
              <w:rPr>
                <w:rFonts w:hint="eastAsia" w:ascii="Times New Roman" w:hAnsi="Times New Roman" w:eastAsia="仿宋" w:cs="Times New Roman"/>
                <w:bCs/>
                <w:kern w:val="2"/>
                <w:sz w:val="24"/>
                <w:szCs w:val="24"/>
                <w:highlight w:val="none"/>
                <w:lang w:val="en-US" w:eastAsia="zh-CN" w:bidi="ar-SA"/>
              </w:rPr>
              <w:t>（提供查询截图）</w:t>
            </w:r>
          </w:p>
        </w:tc>
      </w:tr>
      <w:tr w14:paraId="269C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56906FDF">
            <w:pPr>
              <w:adjustRightInd w:val="0"/>
              <w:spacing w:line="300" w:lineRule="auto"/>
              <w:jc w:val="center"/>
              <w:rPr>
                <w:rFonts w:hint="default" w:ascii="Times New Roman" w:hAnsi="Times New Roman" w:eastAsia="仿宋" w:cs="Times New Roman"/>
                <w:bCs/>
                <w:sz w:val="24"/>
                <w:szCs w:val="24"/>
                <w:highlight w:val="none"/>
                <w:lang w:val="en-US" w:eastAsia="zh-CN"/>
              </w:rPr>
            </w:pPr>
            <w:r>
              <w:rPr>
                <w:rFonts w:hint="eastAsia" w:ascii="Times New Roman" w:hAnsi="Times New Roman" w:eastAsia="仿宋" w:cs="Times New Roman"/>
                <w:bCs/>
                <w:sz w:val="24"/>
                <w:szCs w:val="24"/>
                <w:highlight w:val="none"/>
                <w:lang w:val="en-US" w:eastAsia="zh-CN"/>
              </w:rPr>
              <w:t>9</w:t>
            </w:r>
          </w:p>
        </w:tc>
        <w:tc>
          <w:tcPr>
            <w:tcW w:w="1321" w:type="pct"/>
            <w:vAlign w:val="center"/>
          </w:tcPr>
          <w:p w14:paraId="3D0A4574">
            <w:pPr>
              <w:spacing w:line="360" w:lineRule="auto"/>
              <w:jc w:val="center"/>
              <w:rPr>
                <w:rFonts w:hint="default" w:ascii="仿宋" w:hAnsi="仿宋" w:eastAsia="仿宋"/>
                <w:b/>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本项目的特定资格要求</w:t>
            </w:r>
          </w:p>
        </w:tc>
        <w:tc>
          <w:tcPr>
            <w:tcW w:w="3290" w:type="pct"/>
            <w:vAlign w:val="center"/>
          </w:tcPr>
          <w:p w14:paraId="5AEA2CED">
            <w:pPr>
              <w:adjustRightInd w:val="0"/>
              <w:spacing w:line="300" w:lineRule="auto"/>
              <w:rPr>
                <w:rFonts w:hint="default" w:ascii="Times New Roman" w:hAnsi="Times New Roman" w:eastAsia="仿宋" w:cs="Times New Roman"/>
                <w:bCs/>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1、供应商单位及其现任法定代表人、主要负责人在参加本次采购活动前三年内无行贿犯罪记录；2、本项目不接受联合体。（提供承诺函，格式自拟）</w:t>
            </w:r>
          </w:p>
        </w:tc>
      </w:tr>
    </w:tbl>
    <w:p w14:paraId="2AE101D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仿宋" w:cs="Times New Roman"/>
          <w:b w:val="0"/>
          <w:bCs w:val="0"/>
          <w:sz w:val="24"/>
          <w:szCs w:val="24"/>
          <w:highlight w:val="none"/>
          <w:lang w:val="en-US" w:eastAsia="zh-CN"/>
        </w:rPr>
      </w:pPr>
      <w:r>
        <w:rPr>
          <w:rFonts w:hint="eastAsia" w:ascii="Times New Roman" w:hAnsi="Times New Roman" w:eastAsia="仿宋" w:cs="Times New Roman"/>
          <w:b w:val="0"/>
          <w:bCs w:val="0"/>
          <w:sz w:val="24"/>
          <w:szCs w:val="24"/>
          <w:highlight w:val="none"/>
          <w:lang w:val="en-US" w:eastAsia="zh-CN"/>
        </w:rPr>
        <w:t>注：1.本项目所称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p>
    <w:p w14:paraId="3B2E7D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val="0"/>
          <w:bCs w:val="0"/>
          <w:sz w:val="24"/>
          <w:szCs w:val="24"/>
          <w:highlight w:val="none"/>
          <w:lang w:val="en-US" w:eastAsia="zh-CN"/>
        </w:rPr>
      </w:pPr>
      <w:r>
        <w:rPr>
          <w:rFonts w:hint="eastAsia" w:ascii="Times New Roman" w:hAnsi="Times New Roman" w:eastAsia="仿宋" w:cs="Times New Roman"/>
          <w:b w:val="0"/>
          <w:bCs w:val="0"/>
          <w:sz w:val="24"/>
          <w:szCs w:val="24"/>
          <w:highlight w:val="none"/>
          <w:lang w:val="en-US" w:eastAsia="zh-CN"/>
        </w:rPr>
        <w:t>2.本项目所称重大违法记录中的“较大数额罚款”金额标准认定为200万元以上的罚款，法律、行政法规以及国务院有关部门明确规定相关领域“较大数额罚款”标准高于200万元的，从其规定。</w:t>
      </w:r>
      <w:bookmarkStart w:id="38" w:name="_Toc23416"/>
    </w:p>
    <w:p w14:paraId="608C16D2">
      <w:pPr>
        <w:rPr>
          <w:rFonts w:hint="eastAsia" w:ascii="Times New Roman" w:hAnsi="Times New Roman" w:eastAsia="仿宋" w:cs="Times New Roman"/>
          <w:b w:val="0"/>
          <w:bCs w:val="0"/>
          <w:sz w:val="24"/>
          <w:szCs w:val="24"/>
          <w:highlight w:val="none"/>
          <w:lang w:val="en-US" w:eastAsia="zh-CN"/>
        </w:rPr>
      </w:pPr>
      <w:r>
        <w:rPr>
          <w:rFonts w:hint="eastAsia" w:ascii="Times New Roman" w:hAnsi="Times New Roman" w:eastAsia="仿宋" w:cs="Times New Roman"/>
          <w:b w:val="0"/>
          <w:bCs w:val="0"/>
          <w:sz w:val="24"/>
          <w:szCs w:val="24"/>
          <w:highlight w:val="none"/>
          <w:lang w:val="en-US" w:eastAsia="zh-CN"/>
        </w:rPr>
        <w:br w:type="page"/>
      </w:r>
    </w:p>
    <w:p w14:paraId="1AC5F3CF">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仿宋" w:hAnsi="仿宋" w:eastAsia="仿宋"/>
          <w:b/>
          <w:bCs w:val="0"/>
          <w:color w:val="000000"/>
          <w:sz w:val="36"/>
          <w:szCs w:val="36"/>
          <w:highlight w:val="none"/>
        </w:rPr>
      </w:pPr>
      <w:bookmarkStart w:id="39" w:name="_Toc24680"/>
      <w:r>
        <w:rPr>
          <w:rFonts w:hint="eastAsia" w:ascii="仿宋" w:hAnsi="仿宋" w:eastAsia="仿宋"/>
          <w:b/>
          <w:bCs w:val="0"/>
          <w:color w:val="000000"/>
          <w:sz w:val="36"/>
          <w:szCs w:val="36"/>
          <w:highlight w:val="none"/>
        </w:rPr>
        <w:t xml:space="preserve">第四章 </w:t>
      </w:r>
      <w:bookmarkEnd w:id="33"/>
      <w:bookmarkEnd w:id="34"/>
      <w:bookmarkEnd w:id="35"/>
      <w:r>
        <w:rPr>
          <w:rFonts w:hint="eastAsia" w:ascii="仿宋" w:hAnsi="仿宋" w:eastAsia="仿宋"/>
          <w:b/>
          <w:bCs w:val="0"/>
          <w:color w:val="000000"/>
          <w:sz w:val="36"/>
          <w:szCs w:val="36"/>
          <w:highlight w:val="none"/>
        </w:rPr>
        <w:t>技术、</w:t>
      </w:r>
      <w:r>
        <w:rPr>
          <w:rFonts w:hint="eastAsia" w:ascii="仿宋" w:hAnsi="仿宋" w:eastAsia="仿宋"/>
          <w:b/>
          <w:bCs w:val="0"/>
          <w:color w:val="000000"/>
          <w:sz w:val="36"/>
          <w:szCs w:val="36"/>
          <w:highlight w:val="none"/>
          <w:lang w:eastAsia="zh-CN"/>
        </w:rPr>
        <w:t>商务</w:t>
      </w:r>
      <w:r>
        <w:rPr>
          <w:rFonts w:hint="eastAsia" w:ascii="仿宋" w:hAnsi="仿宋" w:eastAsia="仿宋"/>
          <w:b/>
          <w:bCs w:val="0"/>
          <w:color w:val="000000"/>
          <w:sz w:val="36"/>
          <w:szCs w:val="36"/>
          <w:highlight w:val="none"/>
        </w:rPr>
        <w:t>及其他要求</w:t>
      </w:r>
      <w:bookmarkEnd w:id="36"/>
      <w:bookmarkEnd w:id="38"/>
      <w:bookmarkEnd w:id="39"/>
    </w:p>
    <w:p w14:paraId="63BA676E">
      <w:pPr>
        <w:tabs>
          <w:tab w:val="left" w:pos="2310"/>
        </w:tabs>
        <w:spacing w:line="500" w:lineRule="exact"/>
        <w:ind w:right="420" w:rightChars="200" w:firstLine="442" w:firstLineChars="200"/>
        <w:jc w:val="left"/>
        <w:rPr>
          <w:rFonts w:hint="eastAsia" w:ascii="仿宋" w:hAnsi="仿宋" w:eastAsia="仿宋"/>
          <w:b/>
          <w:bCs/>
          <w:color w:val="auto"/>
          <w:sz w:val="22"/>
          <w:szCs w:val="22"/>
          <w:highlight w:val="none"/>
        </w:rPr>
      </w:pPr>
    </w:p>
    <w:p w14:paraId="158B6DB3">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9"/>
        <w:rPr>
          <w:rFonts w:hint="eastAsia" w:ascii="Times New Roman" w:hAnsi="Times New Roman" w:eastAsia="仿宋" w:cs="Times New Roman"/>
          <w:b/>
          <w:bCs/>
          <w:sz w:val="28"/>
          <w:szCs w:val="24"/>
          <w:highlight w:val="none"/>
          <w:lang w:val="en-US" w:eastAsia="zh-CN"/>
        </w:rPr>
      </w:pPr>
      <w:r>
        <w:rPr>
          <w:rFonts w:hint="eastAsia" w:ascii="Times New Roman" w:hAnsi="Times New Roman" w:eastAsia="仿宋" w:cs="Times New Roman"/>
          <w:b/>
          <w:bCs/>
          <w:sz w:val="22"/>
          <w:szCs w:val="22"/>
          <w:highlight w:val="none"/>
          <w:u w:val="none"/>
          <w:lang w:val="en-US" w:eastAsia="zh-CN"/>
        </w:rPr>
        <w:t>前提：本章中标注“★”的条款为实质性要求，未响应或不满足，按无效响应处理；</w:t>
      </w:r>
    </w:p>
    <w:p w14:paraId="703769C1">
      <w:pPr>
        <w:autoSpaceDE w:val="0"/>
        <w:autoSpaceDN w:val="0"/>
        <w:spacing w:line="520" w:lineRule="exact"/>
        <w:ind w:firstLine="551" w:firstLineChars="196"/>
        <w:outlineLvl w:val="1"/>
        <w:rPr>
          <w:rFonts w:hint="eastAsia" w:ascii="Times New Roman" w:hAnsi="Times New Roman" w:eastAsia="仿宋" w:cs="Times New Roman"/>
          <w:b/>
          <w:bCs/>
          <w:sz w:val="28"/>
          <w:szCs w:val="24"/>
          <w:highlight w:val="none"/>
          <w:lang w:val="zh-CN" w:eastAsia="zh-CN"/>
        </w:rPr>
      </w:pPr>
      <w:r>
        <w:rPr>
          <w:rFonts w:hint="eastAsia" w:ascii="Times New Roman" w:hAnsi="Times New Roman" w:eastAsia="仿宋" w:cs="Times New Roman"/>
          <w:b/>
          <w:bCs/>
          <w:sz w:val="28"/>
          <w:szCs w:val="24"/>
          <w:highlight w:val="none"/>
          <w:lang w:val="zh-CN" w:eastAsia="zh-CN"/>
        </w:rPr>
        <w:t>一、项目概述</w:t>
      </w:r>
    </w:p>
    <w:p w14:paraId="06B284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本项目共计1个采购包，拟确定成交供应商1名。</w:t>
      </w:r>
    </w:p>
    <w:p w14:paraId="5423A562">
      <w:pPr>
        <w:autoSpaceDE w:val="0"/>
        <w:autoSpaceDN w:val="0"/>
        <w:spacing w:line="520" w:lineRule="exact"/>
        <w:ind w:firstLine="551" w:firstLineChars="196"/>
        <w:outlineLvl w:val="1"/>
        <w:rPr>
          <w:rFonts w:ascii="Times New Roman" w:hAnsi="Times New Roman" w:eastAsia="仿宋" w:cs="Times New Roman"/>
          <w:b/>
          <w:bCs/>
          <w:sz w:val="28"/>
          <w:szCs w:val="24"/>
          <w:highlight w:val="none"/>
          <w:lang w:val="zh-CN"/>
        </w:rPr>
      </w:pPr>
      <w:bookmarkStart w:id="40" w:name="_Toc31288"/>
      <w:r>
        <w:rPr>
          <w:rFonts w:hint="eastAsia" w:ascii="Times New Roman" w:hAnsi="Times New Roman" w:eastAsia="仿宋" w:cs="Times New Roman"/>
          <w:b/>
          <w:bCs/>
          <w:sz w:val="28"/>
          <w:szCs w:val="24"/>
          <w:highlight w:val="none"/>
          <w:lang w:val="en-US" w:eastAsia="zh-CN"/>
        </w:rPr>
        <w:t>二</w:t>
      </w:r>
      <w:r>
        <w:rPr>
          <w:rFonts w:hint="eastAsia" w:ascii="Times New Roman" w:hAnsi="Times New Roman" w:eastAsia="仿宋" w:cs="Times New Roman"/>
          <w:b/>
          <w:bCs/>
          <w:sz w:val="28"/>
          <w:szCs w:val="24"/>
          <w:highlight w:val="none"/>
          <w:lang w:val="zh-CN" w:eastAsia="zh-CN"/>
        </w:rPr>
        <w:t>、</w:t>
      </w:r>
      <w:r>
        <w:rPr>
          <w:rFonts w:ascii="Times New Roman" w:hAnsi="Times New Roman" w:eastAsia="仿宋" w:cs="Times New Roman"/>
          <w:b/>
          <w:bCs/>
          <w:sz w:val="28"/>
          <w:szCs w:val="24"/>
          <w:highlight w:val="none"/>
          <w:lang w:val="zh-CN"/>
        </w:rPr>
        <w:t>采购内容清单</w:t>
      </w:r>
    </w:p>
    <w:p w14:paraId="3BFDDEFC">
      <w:pPr>
        <w:autoSpaceDE w:val="0"/>
        <w:autoSpaceDN w:val="0"/>
        <w:spacing w:line="520" w:lineRule="exact"/>
        <w:ind w:firstLine="472" w:firstLineChars="196"/>
        <w:outlineLvl w:val="1"/>
        <w:rPr>
          <w:rFonts w:hint="eastAsia" w:ascii="Times New Roman" w:hAnsi="Times New Roman" w:eastAsia="仿宋" w:cs="Times New Roman"/>
          <w:b/>
          <w:bCs/>
          <w:sz w:val="28"/>
          <w:szCs w:val="24"/>
          <w:highlight w:val="yellow"/>
          <w:lang w:val="en-US" w:eastAsia="zh-CN"/>
        </w:rPr>
      </w:pPr>
      <w:r>
        <w:rPr>
          <w:rFonts w:hint="eastAsia" w:ascii="Times New Roman" w:hAnsi="Times New Roman" w:eastAsia="仿宋" w:cs="Times New Roman"/>
          <w:b/>
          <w:bCs/>
          <w:color w:val="auto"/>
          <w:sz w:val="24"/>
          <w:szCs w:val="24"/>
          <w:highlight w:val="none"/>
          <w:u w:val="none"/>
          <w:lang w:val="zh-CN" w:eastAsia="zh-CN"/>
        </w:rPr>
        <w:t>（中小企业声明函中填写的“标的名称”及“所属行业”以本表为准）</w:t>
      </w:r>
    </w:p>
    <w:tbl>
      <w:tblPr>
        <w:tblStyle w:val="25"/>
        <w:tblW w:w="89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2"/>
        <w:gridCol w:w="2089"/>
        <w:gridCol w:w="3656"/>
        <w:gridCol w:w="919"/>
        <w:gridCol w:w="825"/>
        <w:gridCol w:w="825"/>
      </w:tblGrid>
      <w:tr w14:paraId="0068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1A1A">
            <w:pPr>
              <w:keepNext w:val="0"/>
              <w:keepLines w:val="0"/>
              <w:widowControl/>
              <w:suppressLineNumbers w:val="0"/>
              <w:spacing w:line="36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CBE8">
            <w:pPr>
              <w:keepNext w:val="0"/>
              <w:keepLines w:val="0"/>
              <w:widowControl/>
              <w:suppressLineNumbers w:val="0"/>
              <w:spacing w:line="36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标的名称</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4B40">
            <w:pPr>
              <w:keepNext w:val="0"/>
              <w:keepLines w:val="0"/>
              <w:widowControl/>
              <w:suppressLineNumbers w:val="0"/>
              <w:spacing w:line="36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技术参数及要求</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417A">
            <w:pPr>
              <w:keepNext w:val="0"/>
              <w:keepLines w:val="0"/>
              <w:widowControl/>
              <w:suppressLineNumbers w:val="0"/>
              <w:spacing w:line="36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2AB5">
            <w:pPr>
              <w:keepNext w:val="0"/>
              <w:keepLines w:val="0"/>
              <w:widowControl/>
              <w:suppressLineNumbers w:val="0"/>
              <w:spacing w:line="36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F369">
            <w:pPr>
              <w:keepNext w:val="0"/>
              <w:keepLines w:val="0"/>
              <w:widowControl/>
              <w:suppressLineNumbers w:val="0"/>
              <w:spacing w:line="36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所属行业</w:t>
            </w:r>
          </w:p>
        </w:tc>
      </w:tr>
      <w:tr w14:paraId="61CDC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4DD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F90F">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金属网孔板</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F8D8">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w:t>
            </w:r>
            <w:r>
              <w:rPr>
                <w:rFonts w:hint="eastAsia" w:ascii="仿宋" w:hAnsi="仿宋" w:eastAsia="仿宋" w:cs="仿宋"/>
                <w:i w:val="0"/>
                <w:iCs w:val="0"/>
                <w:color w:val="000000"/>
                <w:kern w:val="0"/>
                <w:sz w:val="24"/>
                <w:szCs w:val="24"/>
                <w:u w:val="none"/>
                <w:lang w:val="en-US" w:eastAsia="zh-CN" w:bidi="ar"/>
              </w:rPr>
              <w:t>定制金属制品，规格长宽高60cm*45cm*2cm，灰色喷漆防锈防静电，喷涂前板厚3mm,技能大赛专用开孔,需多块板拼接使用所以各板尺寸公差±1mm垂直度平行度公差1</w:t>
            </w:r>
            <w:r>
              <w:rPr>
                <w:rFonts w:hint="eastAsia" w:ascii="仿宋" w:hAnsi="仿宋" w:eastAsia="仿宋" w:cs="仿宋"/>
                <w:i w:val="0"/>
                <w:iCs w:val="0"/>
                <w:color w:val="auto"/>
                <w:kern w:val="0"/>
                <w:sz w:val="24"/>
                <w:szCs w:val="24"/>
                <w:u w:val="none"/>
                <w:lang w:val="en-US" w:eastAsia="zh-CN" w:bidi="ar"/>
              </w:rPr>
              <w:t>mm</w:t>
            </w:r>
            <w:r>
              <w:rPr>
                <w:rFonts w:hint="eastAsia" w:ascii="仿宋" w:hAnsi="仿宋" w:eastAsia="仿宋" w:cs="仿宋"/>
                <w:b/>
                <w:bCs/>
                <w:color w:val="auto"/>
                <w:sz w:val="24"/>
                <w:szCs w:val="24"/>
              </w:rPr>
              <w:t>(投标文件中提供整体实物照片加以证明)</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ECD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791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7B2D">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3E8E3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027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2E46">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托盘桥架水平安装支架</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6D3C">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定制产品，长150MM 高65MM，匹配技能大赛桥架</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E5A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C94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E78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3452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DEA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1703">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定制托盘桥架竖直安装支架</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DCE7">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定制产品，高33MM 总长180MM，几字行支架，匹配技能大赛桥架</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78A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66B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34D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3661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53ED">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BD9C">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水口钳斜口钳</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21B6">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水口钳斜口钳6寸，CR-V</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EB4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2AB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090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E8CE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0EB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F638">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剥线钳</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9DC9">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7寸，7档带刃0.6-2.6mm多功能剥线钳，CR-V</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CC3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FC3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A94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450B2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958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5D01">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电池1</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A4C4">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碱性 7号</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CE3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B85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D94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1A24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014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4852">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电池2</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E00C">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碱性 5号</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2F0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543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A54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3CBE3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C85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33A8">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电池3</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216F">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碱性 9V</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5A3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066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79E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5BEB9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2A3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494C">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RV铜芯软线1</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CE5C">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0.5 ㎡国标100米/卷（R) 黑/红/蓝/绿/黄</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C92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A97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223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AEF2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147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0FFD">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RV铜芯软线2</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6471">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0.75㎡国标100米/卷（R) 红/蓝/绿/黄/黑</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774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734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255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7CAA6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137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3697">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RV铜芯软线3</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A2C9">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 国标100米/卷（R) 红/黑/蓝/绿/双色</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EAD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251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2D7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7CD4B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34D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FECA">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RV铜芯软线4</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C1E7">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 国标100米/卷（R) 红/黑/蓝/绿/双色</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1DC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987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15D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3635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F925">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D34E">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RV铜芯软线5</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98E5">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2.5㎡（软）国标100米/卷 红/黄/蓝/绿/双色</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1D8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12F5">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8E6D">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5D17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19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19BF">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铝芯线</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ACEA">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2.5㎡国标100米/卷,红、黄、蓝、绿</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51C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CBC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653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07D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F7D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3D30">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多股铝芯线</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135B">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BLV10*7芯,国标100米/卷</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B40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5C2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A18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591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4E9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74FC">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号码管1</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00BE">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1.5mm（u型）</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4B9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115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851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03397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EAF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74E1">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号码管2</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68D2">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2.5mm（u型）</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9FB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4BC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CF45">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135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84D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9D75">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格栅线槽</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FD6D">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灰色 25*25mm 厚度1.8mm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C2D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CE4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19B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30CC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F97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25D5">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PVC管</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5500">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 国标A型 20mm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3B1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231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6E5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8D7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F65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21E2">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PVC线槽1</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86A2">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白色24*12-国标A型</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93A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44A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082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3F949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510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EC47">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PVC线槽2</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F832">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40*20mm，3米/根，国标A型</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E91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291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3E2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0E108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014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6D46">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PVC线槽3</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C94E">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60*40mm，3米/根，国标A型</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52D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0FC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CD2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367B6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FCB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3998">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明装线盒</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B199">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86型 螺纹 壁厚4mm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0F9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F62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F3C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DD8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E3E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B3E3">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开关1</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418F">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明装 一开双控</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622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042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7F2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045DB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B91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3D24">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开关2</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AB21">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明装 一开单控</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903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318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121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7B881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C93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0B27">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二、三级插座</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7F25">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明装 5孔，</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651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6C9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58F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261B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E81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77F4">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插线板1</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0D92">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601-4组 5孔，线长3m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7DA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FB6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07E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A28C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2FED">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5175">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插线板2</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0F75">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403-八位，线长8米</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3DB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891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E05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17B0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1EB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4ACA">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电基小锯弓</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311A">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金属12cm，迷你钢锯架家用便携手工锯子</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DC2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C88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D51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28C7E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688D">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7EE9">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螺丝（配螺母）</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B121">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铁质 M4*20mm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1BBD">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50C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7B65">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3E97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84E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A778">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自攻螺丝</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F529">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M3*15mm，大平头</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486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公斤</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C7F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629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02D1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A52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A7A5">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电工胶布</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98A9">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常规电工胶布，18mm*9m*0.13mm 黑色9米/卷</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1C4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365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CF3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2832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9F4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F14F">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收音机套件</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D896">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FM调频收音机组装套件diy焊接</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EF6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9EE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22A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4AFE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CF0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4EBE">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单片机练习板套件</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02F4">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51单片机小套件，stc89C51/52/AT89S52 11.0592M晶振焊接套件</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B71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6F7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8345">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2F438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ADF5">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2222">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机械万用表套件</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2FF2">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模拟式MF47型</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D01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E06D">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482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565E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9B35">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D55C">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数字万用表套件</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ADDF">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散件DT830B数字万用表套件 白盒表学生焊接教学电子DIY制作</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6D75">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210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01D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110F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DAD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A167">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音响套件</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CBF0">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苹果形状，学生焊接教学电子DIY制作</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2D4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D2F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1B8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C37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239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F222">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焊锡丝</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4071">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高纯度无铅焊锡丝500g/卷，直径0.8mm，含锡99.3%含铜0.7%</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885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圈</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61A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5AE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F47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D4C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096A">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电烙铁</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2564">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 外热式，马蹄斜口</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CFA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A3A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B67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2F4B8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3BE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795C">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烙铁架子</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27D3">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215烙铁架</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8C7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EC8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364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30C09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E7F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78D5">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万用表1</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A9A4">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数字式</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FBF5">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26E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30D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76ED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939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3CA1">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万用表2</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ADF4">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机械MF47型</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4BD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533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7E2D">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179C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72C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3215">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电子装接焊接线路板</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0DAE">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厚度2mm，环氧 12*6cm，带电子装接线路图</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DF0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AB2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F58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C057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673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A1DD">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美工刀</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A6C5">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橡胶柄165mm大号美工刀</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8CB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4BC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FD5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1DCA5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866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91B5">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金属导轨</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C3DE">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厚1.5mm，宽35mmm，配电箱通用</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35F5">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294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492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7169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409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CC3B">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线针端子1</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6269">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E7508，国标紫铜，1000P/包</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9D3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A4B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380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090EA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E28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A687">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线针端子2</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715E">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E1008，国标紫铜，1000P/包</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F36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B41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019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3E96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F81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3DF2">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线针端子3</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8A42">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E1508，国标紫铜，1000P/包</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12C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78C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0A0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1B5FD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EE8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CB71">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线针端子4</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BA00">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E2508，国标紫铜，1000P/包</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0D3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96E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C49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482ED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6A0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ADA5">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冷压端子</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3B33">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带绝缘UT1-3，国标紫铜，1000P/包</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25B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16E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105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726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53D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AF27">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管型针型冷压压接钳</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BF5D">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HSC8 6-4A (范围0.25-10mm²)</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BF0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B09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9F6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1D3E6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2955">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A58D">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冷压端子压接钳子</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D03E">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圆形叉形U.Y型接线鼻子预绝缘压线钳0.25-6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C14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152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AFC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7A4BD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FAC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1CC9">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尼龙扎带1</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27D0">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4*150mm，500P/包</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BD3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23FD">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740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4F0EA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7F1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A081">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尼龙扎带2</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0545">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4*200mm，500P/包</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E58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B91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68F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4A3E1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4A3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DBD1">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PLC编程通讯线</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67AC">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编程电缆数据线，usb-sc09-fx，带磁环,2.5米</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0F65">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541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6DC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5AD14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A5C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B3BE">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PLC连接线1</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DA89">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香蕉插头线，直流电源实验导线2.5平方,0.3m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861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960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5BF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2E63C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7CE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942F">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PLC连接线2</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DD2D">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香蕉头15A，2.5平方，0.3m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65C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BBE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230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39B6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562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E87D">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整流二极管</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1262">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1N4007，1000P/盒</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186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180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FBB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41A51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7A1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B392">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屏蔽双绞线 两芯</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E227">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RVSP2*0.5，国标（100米/圈）</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7A45">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EF9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1E5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4E4F7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73C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D34D">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视频线单芯同轴电缆</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B5FE">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SYV75-3-1(黑色)，国标，100M/卷</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E79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D2F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0CE5">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157CD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FDB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5A06">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网线</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FAEE">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CC611-G工程系列超五类8芯非屏蔽纯铜网线(300米),0.58无氧铜</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822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箱</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8B1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AE6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755A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CFB5">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036E">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网络水晶头</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974D">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超五类镀金水晶头100颗装</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3C5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4F5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81A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56EB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765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3E8F">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交流接触器</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10AC">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50HZ CJX1-12/22, 220V</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956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FDA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4C4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48C2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CF3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1673">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三联按钮开关</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ED5B">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NP2-E3001,220V</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2AD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023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45A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2F5B3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C5F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2759">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热继电器</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C187">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NR4-63 10-16A 220V</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65D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213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DA4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3A23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E2C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41D0">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断路器</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C174">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RT28-32X,1P</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6CC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4F6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E8A5">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5D69D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555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6F88">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接线端子排</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3609">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15A, 20位UK2.5,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B30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E41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509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2BA1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A79D">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1E39">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过载空气开关1</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02BE">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1p不带漏保，32A</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969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F4F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791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4E310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5DD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9A35">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过载空气开关2</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1B09">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2p不带漏保，32A</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66A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97F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13B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CCB9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03B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0AFE">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过载空气开关3</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7E0D">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3p带漏保，32A</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12A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98F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6BC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4F4B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2D2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E4F3">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过载空气开关4</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42AB">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3p不带漏保，63A</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C2B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52A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407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0602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007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BF16">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光纤</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7EA4">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室内单芯，电信级</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C15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9D8D">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C15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7578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438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4CE3">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螺口灯座</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3FD4">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E27，86mm明装螺纹灯座</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BE2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DCD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846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57D0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DA8D">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4D74">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LED灯泡</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87B5">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10W，LED灯</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B50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C2C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AB0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74029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6DE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2E2D">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HDMI通讯线</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6666">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HDMI双接口，3米，支持4K/60Hz</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68C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341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67D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150C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C8E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A639">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转接头</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5F82">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HDMI转VGA</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C90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3F9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1DC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49D8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D8C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B66F">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数字逻辑运算试验套件</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3A31">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含电池盒+电池+1米焊锡+焊接视频</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736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B04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05A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34291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A97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F9E5">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路灯自动节能系统套件</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5022">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路灯自动节能控制系统套件，NE555+CD4011，含电池盒+电池+1米焊锡+焊接视频</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A40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71A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9EA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13F04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4C9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C1FD">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直流稳压电源套件</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DBB1">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串联型可调直流稳压电源套件，技能实训试验电子制作，含电源线变压器+1米焊锡+焊接视频</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6E7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F8F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B64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196A5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3ED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3BA8">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LM317可调电源制作散件</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3A8D">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电子DIY焊接训练材料带外壳带电压表，含电源线变压器+1米焊锡+焊接视频</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1EA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ADA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9E1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7729F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887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5E65">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中国结五角星焊接套件</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05A4">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中国结，可调速流水灯拇指灯，含电池盒+电池+1米焊锡+焊接视频</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212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054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8715">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2E0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432D">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23DC">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LED发光二极管1</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AAA4">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5mm蓝发蓝，1000只/包，长脚26-28mm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C2E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F5C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11B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7F42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A8A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D681">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LED发光二极管2</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4CBD">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5mm七彩快闪，1000只/包，长脚26-28mm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3E37">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F11A">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F6A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2148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A23F">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AABD">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LED发光二极管3</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6D92">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5mm绿发绿，1000只/包，长脚26-28mm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20B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A35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183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71B67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F18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24D1">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LED发光二极管4</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FCDF">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5mm红发红，1000只/包，长脚26-28mm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ED90">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7CF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9C6D">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65E64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6D8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2DAB">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机械传动模型</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5D4C">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材料：铝合金，包含：电机、皮带传动机构、链条传动机构、蜗轮蜗杆传动机构、伞齿轮90°传动机构、齿轮传动机构、摩擦传动机构等</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224C">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3EAE">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EA8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5C2E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920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1629">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角尺</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69D3">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刻度钢角尺150mm，同向双刻度,不锈钢</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423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059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26A9">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1B0C7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F8D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CEF8">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卷尺</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0AF4">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超高挺直加硬加，【5*19mm】,净重200g</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E563">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8BFD">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AC5D">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7A4E1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CC4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90E5">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氧化膜电阻杂件</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D396">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每包：10种阻值，5种功率，1200支/包，全新脚位未氧化</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B30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F392">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1228">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46E92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5286">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B78F">
            <w:pPr>
              <w:keepNext w:val="0"/>
              <w:keepLines w:val="0"/>
              <w:widowControl/>
              <w:suppressLineNumbers w:val="0"/>
              <w:spacing w:line="36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5芯线缆</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C1BF">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黑皮，5*2.5㎡铜芯多股线缆</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73B1">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0604">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9D8B">
            <w:pPr>
              <w:keepNext w:val="0"/>
              <w:keepLines w:val="0"/>
              <w:widowControl/>
              <w:suppressLineNumbers w:val="0"/>
              <w:spacing w:line="36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w:t>
            </w:r>
          </w:p>
        </w:tc>
      </w:tr>
      <w:tr w14:paraId="1943D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B957">
            <w:pPr>
              <w:keepNext w:val="0"/>
              <w:keepLines w:val="0"/>
              <w:widowControl/>
              <w:suppressLineNumbers w:val="0"/>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91</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4681">
            <w:pPr>
              <w:keepNext w:val="0"/>
              <w:keepLines w:val="0"/>
              <w:widowControl/>
              <w:suppressLineNumbers w:val="0"/>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kern w:val="0"/>
                <w:sz w:val="24"/>
                <w:szCs w:val="24"/>
                <w:lang w:bidi="ar"/>
              </w:rPr>
              <w:t>中间继电器</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C60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14脚3A DC24V 配底座 RXM4LB2BD+RXZE1M</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ED10">
            <w:pPr>
              <w:keepNext w:val="0"/>
              <w:keepLines w:val="0"/>
              <w:widowControl/>
              <w:suppressLineNumbers w:val="0"/>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80C8">
            <w:pPr>
              <w:keepNext w:val="0"/>
              <w:keepLines w:val="0"/>
              <w:widowControl/>
              <w:suppressLineNumbers w:val="0"/>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160B">
            <w:pPr>
              <w:keepNext w:val="0"/>
              <w:keepLines w:val="0"/>
              <w:widowControl/>
              <w:suppressLineNumbers w:val="0"/>
              <w:spacing w:line="36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工业</w:t>
            </w:r>
          </w:p>
        </w:tc>
      </w:tr>
    </w:tbl>
    <w:p w14:paraId="4FD91AA9">
      <w:pPr>
        <w:pStyle w:val="3"/>
        <w:spacing w:before="0" w:after="0" w:line="240" w:lineRule="auto"/>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核心产品为：金属网孔板</w:t>
      </w:r>
    </w:p>
    <w:p w14:paraId="5C16B39B">
      <w:pPr>
        <w:rPr>
          <w:rFonts w:hint="eastAsia"/>
          <w:lang w:val="en-US" w:eastAsia="zh-CN"/>
        </w:rPr>
      </w:pPr>
    </w:p>
    <w:p w14:paraId="4A7BB0C6">
      <w:pPr>
        <w:autoSpaceDE w:val="0"/>
        <w:autoSpaceDN w:val="0"/>
        <w:spacing w:line="520" w:lineRule="exact"/>
        <w:ind w:firstLine="551" w:firstLineChars="196"/>
        <w:outlineLvl w:val="1"/>
        <w:rPr>
          <w:rFonts w:hint="eastAsia" w:ascii="Times New Roman" w:hAnsi="Times New Roman" w:eastAsia="仿宋" w:cs="Times New Roman"/>
          <w:b/>
          <w:bCs/>
          <w:sz w:val="28"/>
          <w:szCs w:val="24"/>
          <w:highlight w:val="none"/>
          <w:lang w:val="zh-CN" w:eastAsia="zh-CN"/>
        </w:rPr>
      </w:pPr>
      <w:r>
        <w:rPr>
          <w:rFonts w:hint="eastAsia" w:ascii="Times New Roman" w:hAnsi="Times New Roman" w:eastAsia="仿宋" w:cs="Times New Roman"/>
          <w:b/>
          <w:bCs/>
          <w:sz w:val="28"/>
          <w:szCs w:val="24"/>
          <w:highlight w:val="none"/>
          <w:lang w:val="en-US" w:eastAsia="zh-CN"/>
        </w:rPr>
        <w:t>三</w:t>
      </w:r>
      <w:r>
        <w:rPr>
          <w:rFonts w:hint="eastAsia" w:ascii="Times New Roman" w:hAnsi="Times New Roman" w:eastAsia="仿宋" w:cs="Times New Roman"/>
          <w:b/>
          <w:bCs/>
          <w:sz w:val="28"/>
          <w:szCs w:val="24"/>
          <w:highlight w:val="none"/>
          <w:lang w:val="zh-CN" w:eastAsia="zh-CN"/>
        </w:rPr>
        <w:t>、商务要求</w:t>
      </w:r>
    </w:p>
    <w:tbl>
      <w:tblPr>
        <w:tblStyle w:val="25"/>
        <w:tblW w:w="516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81"/>
        <w:gridCol w:w="1893"/>
        <w:gridCol w:w="6812"/>
      </w:tblGrid>
      <w:tr w14:paraId="7226A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3" w:type="pct"/>
            <w:vAlign w:val="center"/>
          </w:tcPr>
          <w:p w14:paraId="030EF300">
            <w:pPr>
              <w:pStyle w:val="46"/>
              <w:spacing w:line="300" w:lineRule="auto"/>
              <w:jc w:val="center"/>
              <w:rPr>
                <w:rFonts w:ascii="Times New Roman" w:hAnsi="Times New Roman" w:eastAsia="仿宋" w:cs="Times New Roman"/>
                <w:b/>
                <w:sz w:val="22"/>
                <w:szCs w:val="22"/>
                <w:highlight w:val="none"/>
                <w:lang w:val="zh-CN"/>
              </w:rPr>
            </w:pPr>
            <w:r>
              <w:rPr>
                <w:rFonts w:ascii="Times New Roman" w:hAnsi="Times New Roman" w:eastAsia="仿宋" w:cs="Times New Roman"/>
                <w:b/>
                <w:sz w:val="22"/>
                <w:szCs w:val="22"/>
                <w:highlight w:val="none"/>
                <w:lang w:val="zh-CN"/>
              </w:rPr>
              <w:t>序号</w:t>
            </w:r>
          </w:p>
        </w:tc>
        <w:tc>
          <w:tcPr>
            <w:tcW w:w="1019" w:type="pct"/>
            <w:vAlign w:val="center"/>
          </w:tcPr>
          <w:p w14:paraId="3E709F34">
            <w:pPr>
              <w:pStyle w:val="46"/>
              <w:spacing w:line="300" w:lineRule="auto"/>
              <w:jc w:val="center"/>
              <w:rPr>
                <w:rFonts w:ascii="Times New Roman" w:hAnsi="Times New Roman" w:eastAsia="仿宋" w:cs="Times New Roman"/>
                <w:b/>
                <w:sz w:val="22"/>
                <w:szCs w:val="22"/>
                <w:highlight w:val="none"/>
                <w:lang w:val="zh-CN"/>
              </w:rPr>
            </w:pPr>
            <w:r>
              <w:rPr>
                <w:rFonts w:ascii="Times New Roman" w:hAnsi="Times New Roman" w:eastAsia="仿宋" w:cs="Times New Roman"/>
                <w:b/>
                <w:sz w:val="22"/>
                <w:szCs w:val="22"/>
                <w:highlight w:val="none"/>
                <w:lang w:val="zh-CN"/>
              </w:rPr>
              <w:t>内容</w:t>
            </w:r>
          </w:p>
        </w:tc>
        <w:tc>
          <w:tcPr>
            <w:tcW w:w="3667" w:type="pct"/>
            <w:vAlign w:val="center"/>
          </w:tcPr>
          <w:p w14:paraId="38442C35">
            <w:pPr>
              <w:pStyle w:val="46"/>
              <w:spacing w:line="300" w:lineRule="auto"/>
              <w:ind w:left="210" w:leftChars="100"/>
              <w:jc w:val="center"/>
              <w:rPr>
                <w:rFonts w:ascii="Times New Roman" w:hAnsi="Times New Roman" w:eastAsia="仿宋" w:cs="Times New Roman"/>
                <w:b/>
                <w:sz w:val="22"/>
                <w:szCs w:val="22"/>
                <w:highlight w:val="none"/>
                <w:lang w:val="zh-CN"/>
              </w:rPr>
            </w:pPr>
            <w:r>
              <w:rPr>
                <w:rFonts w:ascii="Times New Roman" w:hAnsi="Times New Roman" w:eastAsia="仿宋" w:cs="Times New Roman"/>
                <w:b/>
                <w:sz w:val="22"/>
                <w:szCs w:val="22"/>
                <w:highlight w:val="none"/>
                <w:lang w:val="zh-CN"/>
              </w:rPr>
              <w:t>要求</w:t>
            </w:r>
          </w:p>
        </w:tc>
      </w:tr>
      <w:tr w14:paraId="05AA4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9" w:hRule="atLeast"/>
          <w:jc w:val="center"/>
        </w:trPr>
        <w:tc>
          <w:tcPr>
            <w:tcW w:w="313" w:type="pct"/>
            <w:vAlign w:val="center"/>
          </w:tcPr>
          <w:p w14:paraId="5FBBE14A">
            <w:pPr>
              <w:pStyle w:val="46"/>
              <w:spacing w:line="300" w:lineRule="auto"/>
              <w:jc w:val="center"/>
              <w:rPr>
                <w:rFonts w:ascii="Times New Roman" w:hAnsi="Times New Roman" w:eastAsia="仿宋" w:cs="Times New Roman"/>
                <w:b w:val="0"/>
                <w:bCs w:val="0"/>
                <w:sz w:val="22"/>
                <w:szCs w:val="22"/>
                <w:highlight w:val="none"/>
                <w:lang w:val="zh-CN"/>
              </w:rPr>
            </w:pPr>
            <w:r>
              <w:rPr>
                <w:rFonts w:ascii="Times New Roman" w:hAnsi="Times New Roman" w:eastAsia="仿宋" w:cs="Times New Roman"/>
                <w:b w:val="0"/>
                <w:bCs w:val="0"/>
                <w:sz w:val="22"/>
                <w:szCs w:val="22"/>
                <w:highlight w:val="none"/>
                <w:lang w:val="zh-CN"/>
              </w:rPr>
              <w:t>1</w:t>
            </w:r>
          </w:p>
        </w:tc>
        <w:tc>
          <w:tcPr>
            <w:tcW w:w="1019" w:type="pct"/>
            <w:vAlign w:val="center"/>
          </w:tcPr>
          <w:p w14:paraId="5A225C0E">
            <w:pPr>
              <w:pStyle w:val="46"/>
              <w:spacing w:line="300" w:lineRule="auto"/>
              <w:jc w:val="center"/>
              <w:rPr>
                <w:rFonts w:hint="eastAsia"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val="0"/>
                <w:bCs w:val="0"/>
                <w:sz w:val="22"/>
                <w:szCs w:val="22"/>
                <w:highlight w:val="none"/>
                <w:lang w:val="en-US" w:eastAsia="zh-CN"/>
              </w:rPr>
              <w:t>服务期</w:t>
            </w:r>
          </w:p>
        </w:tc>
        <w:tc>
          <w:tcPr>
            <w:tcW w:w="3667" w:type="pct"/>
            <w:vAlign w:val="center"/>
          </w:tcPr>
          <w:p w14:paraId="349A652F">
            <w:pPr>
              <w:pStyle w:val="46"/>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★1.供应商自合同签订之日起</w:t>
            </w:r>
            <w:r>
              <w:rPr>
                <w:rFonts w:hint="eastAsia" w:ascii="Times New Roman" w:hAnsi="Times New Roman" w:eastAsia="仿宋" w:cs="Times New Roman"/>
                <w:sz w:val="22"/>
                <w:szCs w:val="22"/>
                <w:highlight w:val="none"/>
                <w:lang w:val="zh-CN" w:eastAsia="zh-CN"/>
              </w:rPr>
              <w:t>5</w:t>
            </w:r>
            <w:r>
              <w:rPr>
                <w:rFonts w:hint="eastAsia" w:ascii="Times New Roman" w:hAnsi="Times New Roman" w:eastAsia="仿宋" w:cs="Times New Roman"/>
                <w:sz w:val="22"/>
                <w:szCs w:val="22"/>
                <w:highlight w:val="none"/>
                <w:lang w:val="zh-CN"/>
              </w:rPr>
              <w:t>个日历天内</w:t>
            </w:r>
            <w:r>
              <w:rPr>
                <w:rFonts w:hint="eastAsia" w:ascii="Times New Roman" w:hAnsi="Times New Roman" w:eastAsia="仿宋" w:cs="Times New Roman"/>
                <w:sz w:val="22"/>
                <w:szCs w:val="22"/>
                <w:highlight w:val="none"/>
                <w:lang w:val="zh-CN" w:eastAsia="zh-CN"/>
              </w:rPr>
              <w:t>，</w:t>
            </w:r>
            <w:r>
              <w:rPr>
                <w:rFonts w:hint="eastAsia" w:ascii="Times New Roman" w:hAnsi="Times New Roman" w:eastAsia="仿宋" w:cs="Times New Roman"/>
                <w:sz w:val="22"/>
                <w:szCs w:val="22"/>
                <w:highlight w:val="none"/>
                <w:lang w:val="zh-CN"/>
              </w:rPr>
              <w:t>将货物全部配送至采购人指定地点</w:t>
            </w:r>
            <w:r>
              <w:rPr>
                <w:rFonts w:hint="eastAsia" w:ascii="Times New Roman" w:hAnsi="Times New Roman" w:eastAsia="仿宋" w:cs="Times New Roman"/>
                <w:sz w:val="22"/>
                <w:szCs w:val="22"/>
                <w:highlight w:val="none"/>
                <w:lang w:val="zh-CN" w:eastAsia="zh-CN"/>
              </w:rPr>
              <w:t>，</w:t>
            </w:r>
            <w:r>
              <w:rPr>
                <w:rFonts w:hint="eastAsia" w:ascii="Times New Roman" w:hAnsi="Times New Roman" w:eastAsia="仿宋" w:cs="Times New Roman"/>
                <w:sz w:val="22"/>
                <w:szCs w:val="22"/>
                <w:highlight w:val="none"/>
                <w:lang w:val="zh-CN"/>
              </w:rPr>
              <w:t>并协助采购人完成</w:t>
            </w:r>
            <w:r>
              <w:rPr>
                <w:rFonts w:hint="eastAsia" w:ascii="Times New Roman" w:hAnsi="Times New Roman" w:eastAsia="仿宋" w:cs="Times New Roman"/>
                <w:sz w:val="22"/>
                <w:szCs w:val="22"/>
                <w:highlight w:val="none"/>
                <w:lang w:val="zh-CN" w:eastAsia="zh-CN"/>
              </w:rPr>
              <w:t>货物</w:t>
            </w:r>
            <w:r>
              <w:rPr>
                <w:rFonts w:hint="eastAsia" w:ascii="Times New Roman" w:hAnsi="Times New Roman" w:eastAsia="仿宋" w:cs="Times New Roman"/>
                <w:sz w:val="22"/>
                <w:szCs w:val="22"/>
                <w:highlight w:val="none"/>
                <w:lang w:val="zh-CN"/>
              </w:rPr>
              <w:t>验收工作。</w:t>
            </w:r>
          </w:p>
          <w:p w14:paraId="608EE5D9">
            <w:pPr>
              <w:pStyle w:val="46"/>
              <w:spacing w:line="300" w:lineRule="auto"/>
              <w:ind w:left="210" w:leftChars="100"/>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2.售后服务时间为180个日历天，售后服务期的起始日期为采购人货物验收合格之日起开始计算。</w:t>
            </w:r>
          </w:p>
        </w:tc>
      </w:tr>
      <w:tr w14:paraId="70FDC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5" w:hRule="atLeast"/>
          <w:jc w:val="center"/>
        </w:trPr>
        <w:tc>
          <w:tcPr>
            <w:tcW w:w="313" w:type="pct"/>
            <w:vAlign w:val="center"/>
          </w:tcPr>
          <w:p w14:paraId="2A568835">
            <w:pPr>
              <w:pStyle w:val="46"/>
              <w:spacing w:line="300" w:lineRule="auto"/>
              <w:jc w:val="center"/>
              <w:rPr>
                <w:rFonts w:ascii="Times New Roman" w:hAnsi="Times New Roman" w:eastAsia="仿宋" w:cs="Times New Roman"/>
                <w:b w:val="0"/>
                <w:bCs w:val="0"/>
                <w:sz w:val="22"/>
                <w:szCs w:val="22"/>
                <w:highlight w:val="none"/>
                <w:lang w:val="zh-CN"/>
              </w:rPr>
            </w:pPr>
            <w:r>
              <w:rPr>
                <w:rFonts w:ascii="Times New Roman" w:hAnsi="Times New Roman" w:eastAsia="仿宋" w:cs="Times New Roman"/>
                <w:b w:val="0"/>
                <w:bCs w:val="0"/>
                <w:sz w:val="22"/>
                <w:szCs w:val="22"/>
                <w:highlight w:val="none"/>
                <w:lang w:val="zh-CN"/>
              </w:rPr>
              <w:t>2</w:t>
            </w:r>
          </w:p>
        </w:tc>
        <w:tc>
          <w:tcPr>
            <w:tcW w:w="1019" w:type="pct"/>
            <w:vAlign w:val="center"/>
          </w:tcPr>
          <w:p w14:paraId="00B519AF">
            <w:pPr>
              <w:pStyle w:val="46"/>
              <w:spacing w:line="300" w:lineRule="auto"/>
              <w:jc w:val="center"/>
              <w:rPr>
                <w:rFonts w:ascii="Times New Roman" w:hAnsi="Times New Roman" w:eastAsia="仿宋" w:cs="Times New Roman"/>
                <w:b w:val="0"/>
                <w:bCs w:val="0"/>
                <w:sz w:val="22"/>
                <w:szCs w:val="22"/>
                <w:highlight w:val="none"/>
                <w:lang w:val="zh-CN"/>
              </w:rPr>
            </w:pPr>
            <w:r>
              <w:rPr>
                <w:rFonts w:hint="eastAsia" w:ascii="Times New Roman" w:hAnsi="Times New Roman" w:eastAsia="仿宋" w:cs="Times New Roman"/>
                <w:b w:val="0"/>
                <w:bCs w:val="0"/>
                <w:sz w:val="22"/>
                <w:szCs w:val="22"/>
                <w:highlight w:val="none"/>
                <w:lang w:val="zh-CN"/>
              </w:rPr>
              <w:t>服务</w:t>
            </w:r>
            <w:r>
              <w:rPr>
                <w:rFonts w:ascii="Times New Roman" w:hAnsi="Times New Roman" w:eastAsia="仿宋" w:cs="Times New Roman"/>
                <w:b w:val="0"/>
                <w:bCs w:val="0"/>
                <w:sz w:val="22"/>
                <w:szCs w:val="22"/>
                <w:highlight w:val="none"/>
                <w:lang w:val="zh-CN"/>
              </w:rPr>
              <w:t>地点</w:t>
            </w:r>
          </w:p>
        </w:tc>
        <w:tc>
          <w:tcPr>
            <w:tcW w:w="3667" w:type="pct"/>
            <w:vAlign w:val="center"/>
          </w:tcPr>
          <w:p w14:paraId="701F21D5">
            <w:pPr>
              <w:pStyle w:val="46"/>
              <w:spacing w:line="300" w:lineRule="auto"/>
              <w:ind w:left="210" w:leftChars="100"/>
              <w:jc w:val="both"/>
              <w:rPr>
                <w:rFonts w:hint="eastAsia" w:ascii="Times New Roman" w:hAnsi="Times New Roman" w:eastAsia="仿宋" w:cs="Times New Roman"/>
                <w:sz w:val="22"/>
                <w:szCs w:val="22"/>
                <w:highlight w:val="none"/>
                <w:lang w:val="zh-CN" w:eastAsia="zh-CN"/>
              </w:rPr>
            </w:pPr>
            <w:r>
              <w:rPr>
                <w:rFonts w:hint="eastAsia" w:ascii="Times New Roman" w:hAnsi="Times New Roman" w:eastAsia="仿宋" w:cs="Times New Roman"/>
                <w:sz w:val="22"/>
                <w:szCs w:val="22"/>
                <w:highlight w:val="none"/>
                <w:lang w:val="zh-CN" w:eastAsia="zh-CN"/>
              </w:rPr>
              <w:t>成都市郫都区港通北三路1899号</w:t>
            </w:r>
          </w:p>
        </w:tc>
      </w:tr>
      <w:tr w14:paraId="34199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85" w:hRule="atLeast"/>
          <w:jc w:val="center"/>
        </w:trPr>
        <w:tc>
          <w:tcPr>
            <w:tcW w:w="313" w:type="pct"/>
            <w:vAlign w:val="center"/>
          </w:tcPr>
          <w:p w14:paraId="251599F2">
            <w:pPr>
              <w:pStyle w:val="46"/>
              <w:spacing w:line="300" w:lineRule="auto"/>
              <w:jc w:val="center"/>
              <w:rPr>
                <w:rFonts w:hint="default"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val="0"/>
                <w:bCs w:val="0"/>
                <w:sz w:val="22"/>
                <w:szCs w:val="22"/>
                <w:highlight w:val="none"/>
                <w:lang w:val="en-US" w:eastAsia="zh-CN"/>
              </w:rPr>
              <w:t>3</w:t>
            </w:r>
          </w:p>
        </w:tc>
        <w:tc>
          <w:tcPr>
            <w:tcW w:w="1019" w:type="pct"/>
            <w:vAlign w:val="center"/>
          </w:tcPr>
          <w:p w14:paraId="6BE293C0">
            <w:pPr>
              <w:pStyle w:val="46"/>
              <w:spacing w:line="300" w:lineRule="auto"/>
              <w:jc w:val="center"/>
              <w:rPr>
                <w:rFonts w:ascii="Times New Roman" w:hAnsi="Times New Roman" w:eastAsia="仿宋" w:cs="Times New Roman"/>
                <w:b w:val="0"/>
                <w:bCs w:val="0"/>
                <w:sz w:val="22"/>
                <w:szCs w:val="22"/>
                <w:highlight w:val="none"/>
                <w:lang w:val="zh-CN"/>
              </w:rPr>
            </w:pPr>
            <w:r>
              <w:rPr>
                <w:rFonts w:hint="eastAsia" w:ascii="Times New Roman" w:hAnsi="Times New Roman" w:eastAsia="仿宋" w:cs="Times New Roman"/>
                <w:b w:val="0"/>
                <w:bCs w:val="0"/>
                <w:sz w:val="22"/>
                <w:szCs w:val="22"/>
                <w:highlight w:val="none"/>
                <w:lang w:val="zh-CN"/>
              </w:rPr>
              <w:t>付款进度安排、资金支付方式</w:t>
            </w:r>
          </w:p>
        </w:tc>
        <w:tc>
          <w:tcPr>
            <w:tcW w:w="3667" w:type="pct"/>
            <w:vAlign w:val="center"/>
          </w:tcPr>
          <w:p w14:paraId="355DC0BA">
            <w:pPr>
              <w:pStyle w:val="46"/>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★1.成交价为固定包干价格，包括但不限于货物的供货、包装、运输、售后服务、税费等与完成本项目有关的所有费用。</w:t>
            </w:r>
          </w:p>
          <w:p w14:paraId="17ABEE53">
            <w:pPr>
              <w:pStyle w:val="46"/>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★2.一次性付款，所有货物经过采购人验收合格交货后支付合同总金额100%的合同款，自采购人收到供应商提供的符合采购人财务要求且合法有效完整的等额完税发票之日起</w:t>
            </w:r>
            <w:r>
              <w:rPr>
                <w:rFonts w:hint="eastAsia" w:ascii="Times New Roman" w:hAnsi="Times New Roman" w:eastAsia="仿宋" w:cs="Times New Roman"/>
                <w:sz w:val="22"/>
                <w:szCs w:val="22"/>
                <w:highlight w:val="none"/>
                <w:lang w:val="zh-CN" w:eastAsia="zh-CN"/>
              </w:rPr>
              <w:t>15</w:t>
            </w:r>
            <w:r>
              <w:rPr>
                <w:rFonts w:hint="eastAsia" w:ascii="Times New Roman" w:hAnsi="Times New Roman" w:eastAsia="仿宋" w:cs="Times New Roman"/>
                <w:sz w:val="22"/>
                <w:szCs w:val="22"/>
                <w:highlight w:val="none"/>
                <w:lang w:val="zh-CN"/>
              </w:rPr>
              <w:t>个日历天内付款；</w:t>
            </w:r>
          </w:p>
          <w:p w14:paraId="523BF702">
            <w:pPr>
              <w:pStyle w:val="46"/>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★3.若采购人收到发票之日早于验收合格之日，则自验收合格之日起1</w:t>
            </w:r>
            <w:r>
              <w:rPr>
                <w:rFonts w:hint="eastAsia" w:ascii="Times New Roman" w:hAnsi="Times New Roman" w:eastAsia="仿宋" w:cs="Times New Roman"/>
                <w:sz w:val="22"/>
                <w:szCs w:val="22"/>
                <w:highlight w:val="none"/>
                <w:lang w:val="zh-CN" w:eastAsia="zh-CN"/>
              </w:rPr>
              <w:t>5</w:t>
            </w:r>
            <w:r>
              <w:rPr>
                <w:rFonts w:hint="eastAsia" w:ascii="Times New Roman" w:hAnsi="Times New Roman" w:eastAsia="仿宋" w:cs="Times New Roman"/>
                <w:sz w:val="22"/>
                <w:szCs w:val="22"/>
                <w:highlight w:val="none"/>
                <w:lang w:val="zh-CN"/>
              </w:rPr>
              <w:t>个日历天内付款。</w:t>
            </w:r>
          </w:p>
          <w:p w14:paraId="74F14092">
            <w:pPr>
              <w:pStyle w:val="46"/>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★4.若供应商未提供增值税发票（普票），或发票经国税网验审不合格的，采购人有权拒付，且不承担逾期付款的责任。</w:t>
            </w:r>
          </w:p>
          <w:p w14:paraId="5F32AB75">
            <w:pPr>
              <w:pStyle w:val="46"/>
              <w:spacing w:line="300" w:lineRule="auto"/>
              <w:ind w:left="210" w:leftChars="100"/>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5.供应商保证提供的银行账户信息真实有效，如果供应商账户信息更改（采购人原则上不予以更换合同账户），需要在采购人付款前10个日历天内告知采购人，若因供应商原因导致采购人无法付款或错误付款，后果由供应商自行承担。</w:t>
            </w:r>
          </w:p>
        </w:tc>
      </w:tr>
      <w:tr w14:paraId="492D2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8" w:hRule="atLeast"/>
          <w:jc w:val="center"/>
        </w:trPr>
        <w:tc>
          <w:tcPr>
            <w:tcW w:w="313" w:type="pct"/>
            <w:vAlign w:val="center"/>
          </w:tcPr>
          <w:p w14:paraId="367B3BFA">
            <w:pPr>
              <w:pStyle w:val="46"/>
              <w:spacing w:line="300" w:lineRule="auto"/>
              <w:jc w:val="center"/>
              <w:rPr>
                <w:rFonts w:hint="default"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val="0"/>
                <w:bCs w:val="0"/>
                <w:sz w:val="22"/>
                <w:szCs w:val="22"/>
                <w:highlight w:val="none"/>
                <w:lang w:val="en-US" w:eastAsia="zh-CN"/>
              </w:rPr>
              <w:t>4</w:t>
            </w:r>
          </w:p>
        </w:tc>
        <w:tc>
          <w:tcPr>
            <w:tcW w:w="1019" w:type="pct"/>
            <w:vAlign w:val="center"/>
          </w:tcPr>
          <w:p w14:paraId="257BF46C">
            <w:pPr>
              <w:adjustRightInd w:val="0"/>
              <w:snapToGrid w:val="0"/>
              <w:spacing w:line="360" w:lineRule="exact"/>
              <w:jc w:val="center"/>
              <w:rPr>
                <w:rFonts w:ascii="Times New Roman" w:hAnsi="Times New Roman" w:eastAsia="仿宋" w:cs="Times New Roman"/>
                <w:b w:val="0"/>
                <w:bCs w:val="0"/>
                <w:sz w:val="22"/>
                <w:szCs w:val="22"/>
                <w:highlight w:val="none"/>
                <w:lang w:val="zh-CN"/>
              </w:rPr>
            </w:pPr>
            <w:r>
              <w:rPr>
                <w:rFonts w:hint="eastAsia" w:ascii="仿宋" w:hAnsi="仿宋" w:eastAsia="仿宋" w:cs="仿宋"/>
                <w:bCs/>
                <w:sz w:val="24"/>
              </w:rPr>
              <w:t>质量及供货渠道要求</w:t>
            </w:r>
          </w:p>
        </w:tc>
        <w:tc>
          <w:tcPr>
            <w:tcW w:w="3667" w:type="pct"/>
            <w:vAlign w:val="center"/>
          </w:tcPr>
          <w:p w14:paraId="0D1A5332">
            <w:pPr>
              <w:pStyle w:val="46"/>
              <w:spacing w:line="300" w:lineRule="auto"/>
              <w:ind w:left="210" w:leftChars="100"/>
              <w:jc w:val="both"/>
              <w:rPr>
                <w:rFonts w:hint="eastAsia" w:ascii="Times New Roman" w:hAnsi="Times New Roman" w:eastAsia="仿宋" w:cs="Times New Roman"/>
                <w:sz w:val="22"/>
                <w:szCs w:val="22"/>
                <w:highlight w:val="none"/>
                <w:lang w:val="zh-CN" w:eastAsia="zh-CN"/>
              </w:rPr>
            </w:pPr>
            <w:r>
              <w:rPr>
                <w:rFonts w:hint="eastAsia" w:ascii="Times New Roman" w:hAnsi="Times New Roman" w:eastAsia="仿宋" w:cs="Times New Roman"/>
                <w:sz w:val="22"/>
                <w:szCs w:val="22"/>
                <w:highlight w:val="none"/>
                <w:lang w:val="zh-CN" w:eastAsia="zh-CN"/>
              </w:rPr>
              <w:t>★1.供应商应保证货物（含零部件、配件等）是全新、未拆封、未使用过的原装合格正品，表面无划伤、无碰撞痕迹。</w:t>
            </w:r>
          </w:p>
          <w:p w14:paraId="551B36D2">
            <w:pPr>
              <w:pStyle w:val="46"/>
              <w:spacing w:line="300" w:lineRule="auto"/>
              <w:ind w:left="210" w:leftChars="100"/>
              <w:jc w:val="both"/>
              <w:rPr>
                <w:rFonts w:hint="default"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zh-CN" w:eastAsia="zh-CN"/>
              </w:rPr>
              <w:t>★2.供应商提供的货物必须符合国家(行业)标准，以及本项目</w:t>
            </w:r>
            <w:r>
              <w:rPr>
                <w:rFonts w:hint="eastAsia" w:ascii="Times New Roman" w:hAnsi="Times New Roman" w:eastAsia="仿宋" w:cs="Times New Roman"/>
                <w:sz w:val="22"/>
                <w:szCs w:val="22"/>
                <w:highlight w:val="none"/>
                <w:lang w:val="en-US" w:eastAsia="zh-CN"/>
              </w:rPr>
              <w:t>采购文件</w:t>
            </w:r>
            <w:r>
              <w:rPr>
                <w:rFonts w:hint="eastAsia" w:ascii="Times New Roman" w:hAnsi="Times New Roman" w:eastAsia="仿宋" w:cs="Times New Roman"/>
                <w:sz w:val="22"/>
                <w:szCs w:val="22"/>
                <w:highlight w:val="none"/>
                <w:lang w:val="zh-CN" w:eastAsia="zh-CN"/>
              </w:rPr>
              <w:t>规定的质量、规格和性能的要求。如果供应商提供的产品的质量或规格与</w:t>
            </w:r>
            <w:r>
              <w:rPr>
                <w:rFonts w:hint="eastAsia" w:ascii="Times New Roman" w:hAnsi="Times New Roman" w:eastAsia="仿宋" w:cs="Times New Roman"/>
                <w:sz w:val="22"/>
                <w:szCs w:val="22"/>
                <w:highlight w:val="none"/>
                <w:lang w:val="en-US" w:eastAsia="zh-CN"/>
              </w:rPr>
              <w:t>采购文件</w:t>
            </w:r>
            <w:r>
              <w:rPr>
                <w:rFonts w:hint="eastAsia" w:ascii="Times New Roman" w:hAnsi="Times New Roman" w:eastAsia="仿宋" w:cs="Times New Roman"/>
                <w:sz w:val="22"/>
                <w:szCs w:val="22"/>
                <w:highlight w:val="none"/>
                <w:lang w:val="zh-CN" w:eastAsia="zh-CN"/>
              </w:rPr>
              <w:t>和供应商的响应文件不符，或证实产品是有缺陷的，包括潜在的缺陷或使用不符合要求的产品等，供应商应在接到采购人书面通知后5个历天内完成换货，因换货产生的费用由供应商承担，如因不合格产品给采购人造成损失，供应商还应承担赔偿责任。产品因质量问题产生的纠纷等均由供应商负全部经济和法律责任。</w:t>
            </w:r>
          </w:p>
        </w:tc>
      </w:tr>
      <w:tr w14:paraId="30CCA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3" w:type="pct"/>
            <w:vAlign w:val="center"/>
          </w:tcPr>
          <w:p w14:paraId="4517306D">
            <w:pPr>
              <w:pStyle w:val="46"/>
              <w:spacing w:line="300" w:lineRule="auto"/>
              <w:jc w:val="center"/>
              <w:rPr>
                <w:rFonts w:hint="default" w:ascii="Times New Roman" w:hAnsi="Times New Roman" w:eastAsia="仿宋" w:cs="Times New Roman"/>
                <w:b w:val="0"/>
                <w:bCs w:val="0"/>
                <w:sz w:val="22"/>
                <w:szCs w:val="22"/>
                <w:highlight w:val="none"/>
                <w:lang w:val="en-US" w:eastAsia="zh-CN"/>
              </w:rPr>
            </w:pPr>
            <w:bookmarkStart w:id="41" w:name="_Toc28829"/>
            <w:bookmarkStart w:id="42" w:name="_Toc32743"/>
            <w:r>
              <w:rPr>
                <w:rFonts w:hint="eastAsia" w:ascii="Times New Roman" w:hAnsi="Times New Roman" w:eastAsia="仿宋" w:cs="Times New Roman"/>
                <w:b w:val="0"/>
                <w:bCs w:val="0"/>
                <w:sz w:val="22"/>
                <w:szCs w:val="22"/>
                <w:highlight w:val="none"/>
                <w:lang w:val="en-US" w:eastAsia="zh-CN"/>
              </w:rPr>
              <w:t>5</w:t>
            </w:r>
          </w:p>
        </w:tc>
        <w:tc>
          <w:tcPr>
            <w:tcW w:w="1019" w:type="pct"/>
            <w:vAlign w:val="center"/>
          </w:tcPr>
          <w:p w14:paraId="26DBE691">
            <w:pPr>
              <w:adjustRightInd w:val="0"/>
              <w:snapToGrid w:val="0"/>
              <w:spacing w:line="360" w:lineRule="exact"/>
              <w:jc w:val="center"/>
              <w:rPr>
                <w:rFonts w:hint="eastAsia" w:ascii="Times New Roman" w:hAnsi="Times New Roman" w:eastAsia="仿宋" w:cs="Times New Roman"/>
                <w:b w:val="0"/>
                <w:bCs w:val="0"/>
                <w:sz w:val="22"/>
                <w:szCs w:val="22"/>
                <w:highlight w:val="none"/>
                <w:lang w:val="zh-CN"/>
              </w:rPr>
            </w:pPr>
            <w:r>
              <w:rPr>
                <w:rFonts w:hint="eastAsia" w:ascii="仿宋" w:hAnsi="仿宋" w:eastAsia="仿宋" w:cs="仿宋"/>
                <w:bCs/>
                <w:sz w:val="24"/>
              </w:rPr>
              <w:t>包装和运输要求</w:t>
            </w:r>
          </w:p>
        </w:tc>
        <w:tc>
          <w:tcPr>
            <w:tcW w:w="3667" w:type="pct"/>
            <w:vAlign w:val="center"/>
          </w:tcPr>
          <w:p w14:paraId="60F38964">
            <w:pPr>
              <w:pStyle w:val="46"/>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zh-CN"/>
              </w:rPr>
              <w:t>★1.供应商为本项目实施涉及的商品包装和快递包装，均符合《商品包装政府采购需求标准（试行）》《快递包装政府采购需求标准（试行）》的要求。该包装应适应于远距离运输、防潮、防震、防锈和防野蛮装卸，以确保货物安全无损运抵指定地点。由于包装不善所引起的货物损失均由供应商承担。货物交付甲方前毁损灭失风险由乙方自行承担。</w:t>
            </w:r>
          </w:p>
        </w:tc>
      </w:tr>
      <w:tr w14:paraId="19882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3" w:type="pct"/>
            <w:vAlign w:val="center"/>
          </w:tcPr>
          <w:p w14:paraId="2E0B64CA">
            <w:pPr>
              <w:pStyle w:val="46"/>
              <w:spacing w:line="300" w:lineRule="auto"/>
              <w:jc w:val="center"/>
              <w:rPr>
                <w:rFonts w:hint="default"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val="0"/>
                <w:bCs w:val="0"/>
                <w:sz w:val="22"/>
                <w:szCs w:val="22"/>
                <w:highlight w:val="none"/>
                <w:lang w:val="en-US" w:eastAsia="zh-CN"/>
              </w:rPr>
              <w:t>6</w:t>
            </w:r>
          </w:p>
        </w:tc>
        <w:tc>
          <w:tcPr>
            <w:tcW w:w="1019" w:type="pct"/>
            <w:vAlign w:val="center"/>
          </w:tcPr>
          <w:p w14:paraId="3574E798">
            <w:pPr>
              <w:adjustRightInd w:val="0"/>
              <w:snapToGrid w:val="0"/>
              <w:spacing w:line="360" w:lineRule="exact"/>
              <w:jc w:val="center"/>
              <w:rPr>
                <w:rFonts w:ascii="Times New Roman" w:hAnsi="Times New Roman" w:eastAsia="仿宋" w:cs="Times New Roman"/>
                <w:b w:val="0"/>
                <w:bCs w:val="0"/>
                <w:sz w:val="22"/>
                <w:szCs w:val="22"/>
                <w:highlight w:val="none"/>
                <w:lang w:val="zh-CN"/>
              </w:rPr>
            </w:pPr>
            <w:r>
              <w:rPr>
                <w:rFonts w:hint="eastAsia" w:ascii="仿宋" w:hAnsi="仿宋" w:eastAsia="仿宋" w:cs="仿宋"/>
                <w:bCs/>
                <w:sz w:val="24"/>
              </w:rPr>
              <w:t>售后服务要求</w:t>
            </w:r>
          </w:p>
        </w:tc>
        <w:tc>
          <w:tcPr>
            <w:tcW w:w="3667" w:type="pct"/>
            <w:vAlign w:val="center"/>
          </w:tcPr>
          <w:p w14:paraId="187A8ACC">
            <w:pPr>
              <w:pStyle w:val="46"/>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1.售后服务期限:180个日历天, 自验收合格之日算起。</w:t>
            </w:r>
          </w:p>
          <w:p w14:paraId="46000644">
            <w:pPr>
              <w:pStyle w:val="46"/>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2.售后服务分电话（含网络）服务和上门服务。售后服务期内，货物出现任何质量问题或发生任何故障的，乙方应在接到甲方通知后</w:t>
            </w:r>
            <w:r>
              <w:rPr>
                <w:rFonts w:hint="eastAsia" w:ascii="Times New Roman" w:hAnsi="Times New Roman" w:eastAsia="仿宋" w:cs="Times New Roman"/>
                <w:sz w:val="22"/>
                <w:szCs w:val="22"/>
                <w:highlight w:val="none"/>
                <w:lang w:val="en-US" w:eastAsia="zh-CN"/>
              </w:rPr>
              <w:t>2</w:t>
            </w:r>
            <w:r>
              <w:rPr>
                <w:rFonts w:hint="eastAsia" w:ascii="Times New Roman" w:hAnsi="Times New Roman" w:eastAsia="仿宋" w:cs="Times New Roman"/>
                <w:sz w:val="22"/>
                <w:szCs w:val="22"/>
                <w:highlight w:val="none"/>
                <w:lang w:val="zh-CN"/>
              </w:rPr>
              <w:t>小时内电话响应；若通过电话无法解决的，乙方应在</w:t>
            </w:r>
            <w:r>
              <w:rPr>
                <w:rFonts w:hint="eastAsia" w:ascii="Times New Roman" w:hAnsi="Times New Roman" w:eastAsia="仿宋" w:cs="Times New Roman"/>
                <w:sz w:val="22"/>
                <w:szCs w:val="22"/>
                <w:highlight w:val="none"/>
                <w:lang w:val="en-US" w:eastAsia="zh-CN"/>
              </w:rPr>
              <w:t>1</w:t>
            </w:r>
            <w:r>
              <w:rPr>
                <w:rFonts w:hint="eastAsia" w:ascii="Times New Roman" w:hAnsi="Times New Roman" w:eastAsia="仿宋" w:cs="Times New Roman"/>
                <w:sz w:val="22"/>
                <w:szCs w:val="22"/>
                <w:highlight w:val="none"/>
                <w:lang w:val="zh-CN"/>
              </w:rPr>
              <w:t>日到达现场进行维修。</w:t>
            </w:r>
          </w:p>
          <w:p w14:paraId="589B2A17">
            <w:pPr>
              <w:pStyle w:val="46"/>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3.售后服务期内货物经供应商二次维修都不能达到需求的，供应商</w:t>
            </w:r>
            <w:r>
              <w:rPr>
                <w:rFonts w:hint="eastAsia" w:ascii="Times New Roman" w:hAnsi="Times New Roman" w:eastAsia="仿宋" w:cs="Times New Roman"/>
                <w:sz w:val="22"/>
                <w:szCs w:val="22"/>
                <w:highlight w:val="none"/>
                <w:lang w:val="en-US" w:eastAsia="zh-CN"/>
              </w:rPr>
              <w:t>须</w:t>
            </w:r>
            <w:r>
              <w:rPr>
                <w:rFonts w:hint="eastAsia" w:ascii="Times New Roman" w:hAnsi="Times New Roman" w:eastAsia="仿宋" w:cs="Times New Roman"/>
                <w:sz w:val="22"/>
                <w:szCs w:val="22"/>
                <w:highlight w:val="none"/>
                <w:lang w:val="zh-CN"/>
              </w:rPr>
              <w:t>提供更换服务</w:t>
            </w:r>
            <w:r>
              <w:rPr>
                <w:rFonts w:hint="eastAsia" w:ascii="Times New Roman" w:hAnsi="Times New Roman" w:eastAsia="仿宋" w:cs="Times New Roman"/>
                <w:sz w:val="22"/>
                <w:szCs w:val="22"/>
                <w:highlight w:val="none"/>
                <w:lang w:val="zh-CN" w:eastAsia="zh-CN"/>
              </w:rPr>
              <w:t>，</w:t>
            </w:r>
            <w:r>
              <w:rPr>
                <w:rFonts w:hint="eastAsia" w:ascii="Times New Roman" w:hAnsi="Times New Roman" w:eastAsia="仿宋" w:cs="Times New Roman"/>
                <w:sz w:val="22"/>
                <w:szCs w:val="22"/>
                <w:highlight w:val="none"/>
                <w:lang w:val="en-US" w:eastAsia="zh-CN"/>
              </w:rPr>
              <w:t>费用包含在报价中</w:t>
            </w:r>
            <w:r>
              <w:rPr>
                <w:rFonts w:hint="eastAsia" w:ascii="Times New Roman" w:hAnsi="Times New Roman" w:eastAsia="仿宋" w:cs="Times New Roman"/>
                <w:sz w:val="22"/>
                <w:szCs w:val="22"/>
                <w:highlight w:val="none"/>
                <w:lang w:val="zh-CN"/>
              </w:rPr>
              <w:t>。</w:t>
            </w:r>
          </w:p>
          <w:p w14:paraId="63C4DB7A">
            <w:pPr>
              <w:pStyle w:val="46"/>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4.</w:t>
            </w:r>
            <w:r>
              <w:rPr>
                <w:rFonts w:hint="eastAsia" w:ascii="Times New Roman" w:hAnsi="Times New Roman" w:eastAsia="仿宋" w:cs="Times New Roman"/>
                <w:sz w:val="22"/>
                <w:szCs w:val="22"/>
                <w:highlight w:val="none"/>
                <w:lang w:val="en-US" w:eastAsia="zh-CN"/>
              </w:rPr>
              <w:t>在</w:t>
            </w:r>
            <w:r>
              <w:rPr>
                <w:rFonts w:hint="eastAsia" w:ascii="Times New Roman" w:hAnsi="Times New Roman" w:eastAsia="仿宋" w:cs="Times New Roman"/>
                <w:sz w:val="22"/>
                <w:szCs w:val="22"/>
                <w:highlight w:val="none"/>
                <w:lang w:val="zh-CN"/>
              </w:rPr>
              <w:t>售后服务期内，乙方为甲方提供的售后服务，包括耗材费、人工费、交通费等，均由乙方自行承担。</w:t>
            </w:r>
          </w:p>
        </w:tc>
      </w:tr>
      <w:tr w14:paraId="100C5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3" w:type="pct"/>
            <w:vAlign w:val="center"/>
          </w:tcPr>
          <w:p w14:paraId="43397635">
            <w:pPr>
              <w:pStyle w:val="46"/>
              <w:spacing w:line="300" w:lineRule="auto"/>
              <w:jc w:val="center"/>
              <w:rPr>
                <w:rFonts w:hint="default" w:ascii="Times New Roman" w:hAnsi="Times New Roman" w:eastAsia="仿宋" w:cs="Times New Roman"/>
                <w:b w:val="0"/>
                <w:bCs w:val="0"/>
                <w:sz w:val="22"/>
                <w:szCs w:val="22"/>
                <w:highlight w:val="none"/>
                <w:lang w:val="en-US" w:eastAsia="zh-CN"/>
              </w:rPr>
            </w:pPr>
            <w:bookmarkStart w:id="43" w:name="_Toc24148"/>
            <w:r>
              <w:rPr>
                <w:rFonts w:hint="eastAsia" w:ascii="Times New Roman" w:hAnsi="Times New Roman" w:eastAsia="仿宋" w:cs="Times New Roman"/>
                <w:b w:val="0"/>
                <w:bCs w:val="0"/>
                <w:sz w:val="22"/>
                <w:szCs w:val="22"/>
                <w:highlight w:val="none"/>
                <w:lang w:val="en-US" w:eastAsia="zh-CN"/>
              </w:rPr>
              <w:t>7</w:t>
            </w:r>
          </w:p>
        </w:tc>
        <w:tc>
          <w:tcPr>
            <w:tcW w:w="1019" w:type="pct"/>
            <w:vAlign w:val="center"/>
          </w:tcPr>
          <w:p w14:paraId="2D5038CA">
            <w:pPr>
              <w:adjustRightInd w:val="0"/>
              <w:snapToGrid w:val="0"/>
              <w:spacing w:line="360" w:lineRule="exact"/>
              <w:jc w:val="center"/>
              <w:rPr>
                <w:rFonts w:hint="eastAsia" w:ascii="仿宋" w:hAnsi="仿宋" w:eastAsia="仿宋" w:cs="仿宋"/>
                <w:bCs/>
                <w:sz w:val="24"/>
              </w:rPr>
            </w:pPr>
            <w:r>
              <w:rPr>
                <w:rFonts w:hint="eastAsia" w:ascii="仿宋" w:hAnsi="仿宋" w:eastAsia="仿宋" w:cs="仿宋"/>
                <w:bCs/>
                <w:sz w:val="24"/>
              </w:rPr>
              <w:t>履约验收</w:t>
            </w:r>
          </w:p>
        </w:tc>
        <w:tc>
          <w:tcPr>
            <w:tcW w:w="3667" w:type="pct"/>
            <w:vAlign w:val="center"/>
          </w:tcPr>
          <w:p w14:paraId="1C8EC94F">
            <w:pPr>
              <w:numPr>
                <w:ilvl w:val="0"/>
                <w:numId w:val="0"/>
              </w:numPr>
              <w:adjustRightInd w:val="0"/>
              <w:snapToGrid w:val="0"/>
              <w:spacing w:line="320" w:lineRule="exact"/>
              <w:ind w:firstLine="220" w:firstLineChars="100"/>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en-US" w:eastAsia="zh-CN" w:bidi="ar-SA"/>
              </w:rPr>
              <w:t>1.</w:t>
            </w:r>
            <w:r>
              <w:rPr>
                <w:rFonts w:hint="eastAsia" w:ascii="Times New Roman" w:hAnsi="Times New Roman" w:eastAsia="仿宋" w:cs="Times New Roman"/>
                <w:kern w:val="0"/>
                <w:sz w:val="22"/>
                <w:szCs w:val="22"/>
                <w:highlight w:val="none"/>
                <w:lang w:val="zh-CN" w:eastAsia="zh-CN" w:bidi="ar-SA"/>
              </w:rPr>
              <w:t>履约验收的主体：采购人</w:t>
            </w:r>
          </w:p>
          <w:p w14:paraId="7BCFD9CD">
            <w:pPr>
              <w:adjustRightInd w:val="0"/>
              <w:snapToGrid w:val="0"/>
              <w:spacing w:line="320" w:lineRule="exact"/>
              <w:ind w:firstLine="220" w:firstLineChars="100"/>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en-US" w:eastAsia="zh-CN" w:bidi="ar-SA"/>
              </w:rPr>
              <w:t>2.</w:t>
            </w:r>
            <w:r>
              <w:rPr>
                <w:rFonts w:hint="eastAsia" w:ascii="Times New Roman" w:hAnsi="Times New Roman" w:eastAsia="仿宋" w:cs="Times New Roman"/>
                <w:kern w:val="0"/>
                <w:sz w:val="22"/>
                <w:szCs w:val="22"/>
                <w:highlight w:val="none"/>
                <w:lang w:val="zh-CN" w:eastAsia="zh-CN" w:bidi="ar-SA"/>
              </w:rPr>
              <w:t>邀请验收对象：服务对象</w:t>
            </w:r>
          </w:p>
          <w:p w14:paraId="0EBB09E5">
            <w:pPr>
              <w:numPr>
                <w:ilvl w:val="0"/>
                <w:numId w:val="0"/>
              </w:numPr>
              <w:adjustRightInd w:val="0"/>
              <w:snapToGrid w:val="0"/>
              <w:spacing w:line="320" w:lineRule="exact"/>
              <w:ind w:left="218" w:leftChars="104" w:firstLine="0" w:firstLineChars="0"/>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en-US" w:eastAsia="zh-CN" w:bidi="ar-SA"/>
              </w:rPr>
              <w:t>3.</w:t>
            </w:r>
            <w:r>
              <w:rPr>
                <w:rFonts w:hint="eastAsia" w:ascii="Times New Roman" w:hAnsi="Times New Roman" w:eastAsia="仿宋" w:cs="Times New Roman"/>
                <w:kern w:val="0"/>
                <w:sz w:val="22"/>
                <w:szCs w:val="22"/>
                <w:highlight w:val="none"/>
                <w:lang w:val="zh-CN" w:eastAsia="zh-CN" w:bidi="ar-SA"/>
              </w:rPr>
              <w:t>时间：</w:t>
            </w:r>
            <w:r>
              <w:rPr>
                <w:rFonts w:hint="eastAsia" w:ascii="Times New Roman" w:hAnsi="Times New Roman" w:eastAsia="仿宋" w:cs="Times New Roman"/>
                <w:kern w:val="0"/>
                <w:sz w:val="22"/>
                <w:szCs w:val="22"/>
                <w:highlight w:val="none"/>
                <w:lang w:val="en-US" w:eastAsia="zh-CN" w:bidi="ar-SA"/>
              </w:rPr>
              <w:t>①</w:t>
            </w:r>
            <w:r>
              <w:rPr>
                <w:rFonts w:hint="eastAsia" w:ascii="Times New Roman" w:hAnsi="Times New Roman" w:eastAsia="仿宋" w:cs="Times New Roman"/>
                <w:kern w:val="0"/>
                <w:sz w:val="22"/>
                <w:szCs w:val="22"/>
                <w:highlight w:val="none"/>
                <w:lang w:val="zh-CN" w:eastAsia="zh-CN" w:bidi="ar-SA"/>
              </w:rPr>
              <w:t>供应商完成送货后，书面通知采购人进行货物验收，采购人自收到货物验收申请之日起10个日历天内组织3人及以上的验收小组进行现场检查验收；</w:t>
            </w:r>
            <w:r>
              <w:rPr>
                <w:rFonts w:hint="eastAsia" w:ascii="Times New Roman" w:hAnsi="Times New Roman" w:eastAsia="仿宋" w:cs="Times New Roman"/>
                <w:kern w:val="0"/>
                <w:sz w:val="22"/>
                <w:szCs w:val="22"/>
                <w:highlight w:val="none"/>
                <w:lang w:val="en-US" w:eastAsia="zh-CN" w:bidi="ar-SA"/>
              </w:rPr>
              <w:t>②</w:t>
            </w:r>
            <w:r>
              <w:rPr>
                <w:rFonts w:hint="eastAsia" w:ascii="Times New Roman" w:hAnsi="Times New Roman" w:eastAsia="仿宋" w:cs="Times New Roman"/>
                <w:kern w:val="0"/>
                <w:sz w:val="22"/>
                <w:szCs w:val="22"/>
                <w:highlight w:val="none"/>
                <w:lang w:val="zh-CN" w:eastAsia="zh-CN" w:bidi="ar-SA"/>
              </w:rPr>
              <w:t>售后服务完成后，由供应商递交售后服务整体验收申请后10个工作日内，采购人按</w:t>
            </w:r>
            <w:r>
              <w:rPr>
                <w:rFonts w:hint="eastAsia" w:ascii="Times New Roman" w:hAnsi="Times New Roman" w:eastAsia="仿宋" w:cs="Times New Roman"/>
                <w:kern w:val="0"/>
                <w:sz w:val="22"/>
                <w:szCs w:val="22"/>
                <w:highlight w:val="none"/>
                <w:lang w:val="en-US" w:eastAsia="zh-CN" w:bidi="ar-SA"/>
              </w:rPr>
              <w:t>采购</w:t>
            </w:r>
            <w:r>
              <w:rPr>
                <w:rFonts w:hint="eastAsia" w:ascii="Times New Roman" w:hAnsi="Times New Roman" w:eastAsia="仿宋" w:cs="Times New Roman"/>
                <w:kern w:val="0"/>
                <w:sz w:val="22"/>
                <w:szCs w:val="22"/>
                <w:highlight w:val="none"/>
                <w:lang w:val="zh-CN" w:eastAsia="zh-CN" w:bidi="ar-SA"/>
              </w:rPr>
              <w:t>文件的售后服务内容及要求、</w:t>
            </w:r>
            <w:r>
              <w:rPr>
                <w:rFonts w:hint="eastAsia" w:ascii="Times New Roman" w:hAnsi="Times New Roman" w:eastAsia="仿宋" w:cs="Times New Roman"/>
                <w:kern w:val="0"/>
                <w:sz w:val="22"/>
                <w:szCs w:val="22"/>
                <w:highlight w:val="none"/>
                <w:lang w:val="en-US" w:eastAsia="zh-CN" w:bidi="ar-SA"/>
              </w:rPr>
              <w:t>供应商</w:t>
            </w:r>
            <w:r>
              <w:rPr>
                <w:rFonts w:hint="eastAsia" w:ascii="Times New Roman" w:hAnsi="Times New Roman" w:eastAsia="仿宋" w:cs="Times New Roman"/>
                <w:kern w:val="0"/>
                <w:sz w:val="22"/>
                <w:szCs w:val="22"/>
                <w:highlight w:val="none"/>
                <w:lang w:val="zh-CN" w:eastAsia="zh-CN" w:bidi="ar-SA"/>
              </w:rPr>
              <w:t>的响应文件及承诺、合同约定进行验收，售后服务整体验收合格，则签署《售后服务验收合格报告》；若售后服务整体验收不合格，采购人有权按合同约定追究</w:t>
            </w:r>
            <w:r>
              <w:rPr>
                <w:rFonts w:hint="eastAsia" w:ascii="Times New Roman" w:hAnsi="Times New Roman" w:eastAsia="仿宋" w:cs="Times New Roman"/>
                <w:kern w:val="0"/>
                <w:sz w:val="22"/>
                <w:szCs w:val="22"/>
                <w:highlight w:val="none"/>
                <w:lang w:val="en-US" w:eastAsia="zh-CN" w:bidi="ar-SA"/>
              </w:rPr>
              <w:t>供应商</w:t>
            </w:r>
            <w:r>
              <w:rPr>
                <w:rFonts w:hint="eastAsia" w:ascii="Times New Roman" w:hAnsi="Times New Roman" w:eastAsia="仿宋" w:cs="Times New Roman"/>
                <w:kern w:val="0"/>
                <w:sz w:val="22"/>
                <w:szCs w:val="22"/>
                <w:highlight w:val="none"/>
                <w:lang w:val="zh-CN" w:eastAsia="zh-CN" w:bidi="ar-SA"/>
              </w:rPr>
              <w:t>的违约责任。</w:t>
            </w:r>
          </w:p>
          <w:p w14:paraId="3603E069">
            <w:pPr>
              <w:pStyle w:val="46"/>
              <w:numPr>
                <w:ilvl w:val="0"/>
                <w:numId w:val="0"/>
              </w:numPr>
              <w:spacing w:line="300" w:lineRule="auto"/>
              <w:ind w:left="210" w:leftChars="100"/>
              <w:jc w:val="both"/>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en-US" w:eastAsia="zh-CN" w:bidi="ar-SA"/>
              </w:rPr>
              <w:t>4.</w:t>
            </w:r>
            <w:r>
              <w:rPr>
                <w:rFonts w:hint="eastAsia" w:ascii="Times New Roman" w:hAnsi="Times New Roman" w:eastAsia="仿宋" w:cs="Times New Roman"/>
                <w:kern w:val="0"/>
                <w:sz w:val="22"/>
                <w:szCs w:val="22"/>
                <w:highlight w:val="none"/>
                <w:lang w:val="zh-CN" w:eastAsia="zh-CN" w:bidi="ar-SA"/>
              </w:rPr>
              <w:t>方式：单位内部验收</w:t>
            </w:r>
          </w:p>
          <w:p w14:paraId="71174546">
            <w:pPr>
              <w:pStyle w:val="46"/>
              <w:numPr>
                <w:ilvl w:val="0"/>
                <w:numId w:val="0"/>
              </w:numPr>
              <w:spacing w:line="300" w:lineRule="auto"/>
              <w:ind w:left="210" w:leftChars="100"/>
              <w:jc w:val="both"/>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en-US" w:eastAsia="zh-CN" w:bidi="ar-SA"/>
              </w:rPr>
              <w:t>5.</w:t>
            </w:r>
            <w:r>
              <w:rPr>
                <w:rFonts w:hint="eastAsia" w:ascii="Times New Roman" w:hAnsi="Times New Roman" w:eastAsia="仿宋" w:cs="Times New Roman"/>
                <w:kern w:val="0"/>
                <w:sz w:val="22"/>
                <w:szCs w:val="22"/>
                <w:highlight w:val="none"/>
                <w:lang w:val="zh-CN" w:eastAsia="zh-CN" w:bidi="ar-SA"/>
              </w:rPr>
              <w:t>程序：一次性验收</w:t>
            </w:r>
          </w:p>
          <w:p w14:paraId="0B269693">
            <w:pPr>
              <w:adjustRightInd w:val="0"/>
              <w:snapToGrid w:val="0"/>
              <w:spacing w:line="320" w:lineRule="exact"/>
              <w:ind w:left="218" w:leftChars="104" w:firstLine="0" w:firstLineChars="0"/>
              <w:rPr>
                <w:rFonts w:hint="eastAsia" w:ascii="仿宋" w:hAnsi="仿宋" w:eastAsia="仿宋" w:cs="仿宋"/>
                <w:sz w:val="24"/>
                <w:szCs w:val="24"/>
                <w:lang w:val="zh-CN" w:eastAsia="zh-CN"/>
              </w:rPr>
            </w:pPr>
            <w:r>
              <w:rPr>
                <w:rFonts w:hint="eastAsia" w:ascii="Times New Roman" w:hAnsi="Times New Roman" w:eastAsia="仿宋" w:cs="Times New Roman"/>
                <w:kern w:val="0"/>
                <w:sz w:val="22"/>
                <w:szCs w:val="22"/>
                <w:highlight w:val="none"/>
                <w:lang w:val="en-US" w:eastAsia="zh-CN" w:bidi="ar-SA"/>
              </w:rPr>
              <w:t>6.</w:t>
            </w:r>
            <w:r>
              <w:rPr>
                <w:rFonts w:hint="eastAsia" w:ascii="Times New Roman" w:hAnsi="Times New Roman" w:eastAsia="仿宋" w:cs="Times New Roman"/>
                <w:kern w:val="0"/>
                <w:sz w:val="22"/>
                <w:szCs w:val="22"/>
                <w:highlight w:val="none"/>
                <w:lang w:val="zh-CN" w:eastAsia="zh-CN" w:bidi="ar-SA"/>
              </w:rPr>
              <w:t>验收内容及标准：</w:t>
            </w:r>
            <w:r>
              <w:rPr>
                <w:rFonts w:hint="eastAsia" w:ascii="Times New Roman" w:hAnsi="Times New Roman" w:eastAsia="仿宋" w:cs="Times New Roman"/>
                <w:kern w:val="0"/>
                <w:sz w:val="22"/>
                <w:szCs w:val="22"/>
                <w:highlight w:val="none"/>
                <w:lang w:val="en-US" w:eastAsia="zh-CN" w:bidi="ar-SA"/>
              </w:rPr>
              <w:t>①</w:t>
            </w:r>
            <w:r>
              <w:rPr>
                <w:rFonts w:hint="eastAsia" w:ascii="Times New Roman" w:hAnsi="Times New Roman" w:eastAsia="仿宋" w:cs="Times New Roman"/>
                <w:kern w:val="0"/>
                <w:sz w:val="22"/>
                <w:szCs w:val="22"/>
                <w:highlight w:val="none"/>
                <w:lang w:val="zh-CN" w:eastAsia="zh-CN" w:bidi="ar-SA"/>
              </w:rPr>
              <w:t>验收内容：货物验收内容包括品牌、型号、数量、外观、合格证书、每一项技术和商务要求的履约情况是否一致。</w:t>
            </w:r>
            <w:r>
              <w:rPr>
                <w:rFonts w:hint="eastAsia" w:ascii="Times New Roman" w:hAnsi="Times New Roman" w:eastAsia="仿宋" w:cs="Times New Roman"/>
                <w:kern w:val="0"/>
                <w:sz w:val="22"/>
                <w:szCs w:val="22"/>
                <w:highlight w:val="none"/>
                <w:lang w:val="en-US" w:eastAsia="zh-CN" w:bidi="ar-SA"/>
              </w:rPr>
              <w:t>售后服务验收</w:t>
            </w:r>
            <w:r>
              <w:rPr>
                <w:rFonts w:hint="eastAsia" w:ascii="Times New Roman" w:hAnsi="Times New Roman" w:eastAsia="仿宋" w:cs="Times New Roman"/>
                <w:kern w:val="0"/>
                <w:sz w:val="22"/>
                <w:szCs w:val="22"/>
                <w:highlight w:val="none"/>
                <w:lang w:val="zh-CN" w:eastAsia="zh-CN" w:bidi="ar-SA"/>
              </w:rPr>
              <w:t>售后服务验收为考核验收（</w:t>
            </w:r>
            <w:r>
              <w:rPr>
                <w:rFonts w:hint="eastAsia" w:ascii="Times New Roman" w:hAnsi="Times New Roman" w:eastAsia="仿宋" w:cs="Times New Roman"/>
                <w:kern w:val="0"/>
                <w:sz w:val="22"/>
                <w:szCs w:val="22"/>
                <w:highlight w:val="none"/>
                <w:lang w:val="en-US" w:eastAsia="zh-CN" w:bidi="ar-SA"/>
              </w:rPr>
              <w:t>供应商</w:t>
            </w:r>
            <w:r>
              <w:rPr>
                <w:rFonts w:hint="eastAsia" w:ascii="Times New Roman" w:hAnsi="Times New Roman" w:eastAsia="仿宋" w:cs="Times New Roman"/>
                <w:kern w:val="0"/>
                <w:sz w:val="22"/>
                <w:szCs w:val="22"/>
                <w:highlight w:val="none"/>
                <w:lang w:val="zh-CN" w:eastAsia="zh-CN" w:bidi="ar-SA"/>
              </w:rPr>
              <w:t xml:space="preserve">每次按照售后服务要求提供服务的视为单次售后服务合格，售后服务期内售后服务合格率[合格的售后服务次数/售后服务总次数]低于百分之90视为售后服务不合格）。 </w:t>
            </w:r>
            <w:r>
              <w:rPr>
                <w:rFonts w:hint="eastAsia" w:ascii="Times New Roman" w:hAnsi="Times New Roman" w:eastAsia="仿宋" w:cs="Times New Roman"/>
                <w:kern w:val="0"/>
                <w:sz w:val="22"/>
                <w:szCs w:val="22"/>
                <w:highlight w:val="none"/>
                <w:lang w:val="en-US" w:eastAsia="zh-CN" w:bidi="ar-SA"/>
              </w:rPr>
              <w:t>②</w:t>
            </w:r>
            <w:r>
              <w:rPr>
                <w:rFonts w:hint="eastAsia" w:ascii="Times New Roman" w:hAnsi="Times New Roman" w:eastAsia="仿宋" w:cs="Times New Roman"/>
                <w:kern w:val="0"/>
                <w:sz w:val="22"/>
                <w:szCs w:val="22"/>
                <w:highlight w:val="none"/>
                <w:lang w:val="zh-CN" w:eastAsia="zh-CN" w:bidi="ar-SA"/>
              </w:rPr>
              <w:t>验收标准：按</w:t>
            </w:r>
            <w:r>
              <w:rPr>
                <w:rFonts w:hint="eastAsia" w:ascii="Times New Roman" w:hAnsi="Times New Roman" w:eastAsia="仿宋" w:cs="Times New Roman"/>
                <w:kern w:val="0"/>
                <w:sz w:val="22"/>
                <w:szCs w:val="22"/>
                <w:highlight w:val="none"/>
                <w:lang w:val="en-US" w:eastAsia="zh-CN" w:bidi="ar-SA"/>
              </w:rPr>
              <w:t>采购文件</w:t>
            </w:r>
            <w:r>
              <w:rPr>
                <w:rFonts w:hint="eastAsia" w:ascii="Times New Roman" w:hAnsi="Times New Roman" w:eastAsia="仿宋" w:cs="Times New Roman"/>
                <w:kern w:val="0"/>
                <w:sz w:val="22"/>
                <w:szCs w:val="22"/>
                <w:highlight w:val="none"/>
                <w:lang w:val="zh-CN" w:eastAsia="zh-CN" w:bidi="ar-SA"/>
              </w:rPr>
              <w:t>的质量要求和供应商的响应文件及承诺、合同约定进行验收。其他未尽事宜应参照《财政部关于进一步加强政府采购需求和履约验收管理的指导意见》。</w:t>
            </w:r>
          </w:p>
        </w:tc>
      </w:tr>
      <w:tr w14:paraId="7E48A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3" w:type="pct"/>
            <w:vAlign w:val="center"/>
          </w:tcPr>
          <w:p w14:paraId="70AAAF56">
            <w:pPr>
              <w:pStyle w:val="46"/>
              <w:spacing w:line="300" w:lineRule="auto"/>
              <w:jc w:val="center"/>
              <w:rPr>
                <w:rFonts w:hint="default"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val="0"/>
                <w:bCs w:val="0"/>
                <w:sz w:val="22"/>
                <w:szCs w:val="22"/>
                <w:highlight w:val="none"/>
                <w:lang w:val="en-US" w:eastAsia="zh-CN"/>
              </w:rPr>
              <w:t>8</w:t>
            </w:r>
          </w:p>
        </w:tc>
        <w:tc>
          <w:tcPr>
            <w:tcW w:w="1019" w:type="pct"/>
            <w:vAlign w:val="center"/>
          </w:tcPr>
          <w:p w14:paraId="47ADDB86">
            <w:pPr>
              <w:adjustRightInd w:val="0"/>
              <w:snapToGrid w:val="0"/>
              <w:spacing w:line="360" w:lineRule="exact"/>
              <w:jc w:val="center"/>
              <w:rPr>
                <w:rFonts w:hint="eastAsia" w:ascii="仿宋" w:hAnsi="仿宋" w:eastAsia="仿宋" w:cs="仿宋"/>
                <w:bCs/>
                <w:sz w:val="24"/>
              </w:rPr>
            </w:pPr>
            <w:r>
              <w:rPr>
                <w:rFonts w:hint="eastAsia" w:ascii="仿宋" w:hAnsi="仿宋" w:eastAsia="仿宋" w:cs="仿宋"/>
                <w:bCs/>
                <w:sz w:val="24"/>
              </w:rPr>
              <w:t>其他商务要求</w:t>
            </w:r>
          </w:p>
        </w:tc>
        <w:tc>
          <w:tcPr>
            <w:tcW w:w="3667" w:type="pct"/>
            <w:vAlign w:val="center"/>
          </w:tcPr>
          <w:p w14:paraId="3ECA0DF4">
            <w:pPr>
              <w:pStyle w:val="46"/>
              <w:spacing w:line="300" w:lineRule="auto"/>
              <w:ind w:left="210" w:leftChars="100"/>
              <w:jc w:val="both"/>
              <w:rPr>
                <w:rFonts w:hint="eastAsia" w:ascii="Times New Roman" w:hAnsi="Times New Roman" w:eastAsia="仿宋" w:cs="Times New Roman"/>
                <w:kern w:val="0"/>
                <w:sz w:val="22"/>
                <w:szCs w:val="22"/>
                <w:highlight w:val="none"/>
                <w:lang w:val="en-US" w:eastAsia="zh-CN" w:bidi="ar-SA"/>
              </w:rPr>
            </w:pPr>
            <w:r>
              <w:rPr>
                <w:rFonts w:hint="eastAsia" w:ascii="Times New Roman" w:hAnsi="Times New Roman" w:eastAsia="仿宋" w:cs="Times New Roman"/>
                <w:sz w:val="22"/>
                <w:szCs w:val="22"/>
                <w:highlight w:val="none"/>
                <w:lang w:val="zh-CN"/>
              </w:rPr>
              <w:t>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说明：供应商提供承诺函原件</w:t>
            </w:r>
            <w:r>
              <w:rPr>
                <w:rFonts w:hint="eastAsia" w:ascii="Times New Roman" w:hAnsi="Times New Roman" w:eastAsia="仿宋" w:cs="Times New Roman"/>
                <w:sz w:val="22"/>
                <w:szCs w:val="22"/>
                <w:highlight w:val="none"/>
                <w:lang w:val="en-US" w:eastAsia="zh-CN"/>
              </w:rPr>
              <w:t>并加盖公章，格式自拟</w:t>
            </w:r>
            <w:r>
              <w:rPr>
                <w:rFonts w:hint="eastAsia" w:ascii="Times New Roman" w:hAnsi="Times New Roman" w:eastAsia="仿宋" w:cs="Times New Roman"/>
                <w:sz w:val="22"/>
                <w:szCs w:val="22"/>
                <w:highlight w:val="none"/>
                <w:lang w:val="zh-CN"/>
              </w:rPr>
              <w:t>。）</w:t>
            </w:r>
          </w:p>
        </w:tc>
      </w:tr>
      <w:bookmarkEnd w:id="40"/>
      <w:bookmarkEnd w:id="41"/>
      <w:bookmarkEnd w:id="42"/>
    </w:tbl>
    <w:p w14:paraId="7ACC6D55">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outlineLvl w:val="0"/>
        <w:rPr>
          <w:rFonts w:hint="eastAsia" w:ascii="仿宋" w:hAnsi="仿宋" w:eastAsia="仿宋" w:cs="仿宋"/>
          <w:bCs/>
          <w:color w:val="000000"/>
          <w:sz w:val="36"/>
          <w:szCs w:val="36"/>
          <w:highlight w:val="none"/>
        </w:rPr>
      </w:pPr>
    </w:p>
    <w:p w14:paraId="2A879F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outlineLvl w:val="0"/>
        <w:rPr>
          <w:rFonts w:hint="eastAsia" w:ascii="仿宋" w:hAnsi="仿宋" w:eastAsia="仿宋" w:cs="仿宋"/>
          <w:b/>
          <w:bCs/>
          <w:color w:val="auto"/>
          <w:sz w:val="28"/>
          <w:szCs w:val="28"/>
        </w:rPr>
      </w:pPr>
      <w:r>
        <w:rPr>
          <w:rFonts w:hint="eastAsia" w:ascii="仿宋" w:hAnsi="仿宋" w:eastAsia="仿宋" w:cs="仿宋"/>
          <w:b/>
          <w:bCs/>
          <w:color w:val="auto"/>
          <w:kern w:val="2"/>
          <w:sz w:val="28"/>
          <w:szCs w:val="28"/>
          <w:lang w:val="en-US" w:eastAsia="zh-CN" w:bidi="ar-SA"/>
        </w:rPr>
        <w:t>四、</w:t>
      </w:r>
      <w:r>
        <w:rPr>
          <w:rFonts w:hint="eastAsia" w:ascii="仿宋" w:hAnsi="仿宋" w:eastAsia="仿宋" w:cs="仿宋"/>
          <w:b/>
          <w:bCs/>
          <w:color w:val="auto"/>
          <w:sz w:val="28"/>
          <w:szCs w:val="28"/>
        </w:rPr>
        <w:t>方案要求（实施方案、售后服务方案等）</w:t>
      </w:r>
    </w:p>
    <w:p w14:paraId="1A1785D4">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投标时应提供以下文件:</w:t>
      </w:r>
    </w:p>
    <w:p w14:paraId="13AE3A48">
      <w:pPr>
        <w:pStyle w:val="3"/>
        <w:spacing w:line="360" w:lineRule="auto"/>
        <w:ind w:firstLine="472"/>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4.1供应商提供</w:t>
      </w:r>
      <w:bookmarkStart w:id="44" w:name="_Hlk134886565"/>
      <w:r>
        <w:rPr>
          <w:rFonts w:hint="eastAsia" w:ascii="仿宋" w:hAnsi="仿宋" w:eastAsia="仿宋" w:cs="仿宋"/>
          <w:b w:val="0"/>
          <w:bCs w:val="0"/>
          <w:color w:val="auto"/>
          <w:sz w:val="24"/>
          <w:szCs w:val="24"/>
        </w:rPr>
        <w:t>项目实施方案：①货物备货与运输方案、②货物质量保障措施、③验收方案、④安装方案、⑤现场服务支持团队。</w:t>
      </w:r>
      <w:bookmarkEnd w:id="44"/>
    </w:p>
    <w:p w14:paraId="64F05AEB">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供应商提供售后服务方案：①售后服务保障措施、②售后服务响应措施；③售后服务人员安排,④系统运行期的维护、安全策略维护，⑤定期现场巡检及技术支持。</w:t>
      </w:r>
    </w:p>
    <w:p w14:paraId="5ECF0EF7">
      <w:pPr>
        <w:spacing w:line="360" w:lineRule="auto"/>
        <w:ind w:firstLine="480" w:firstLineChars="200"/>
        <w:rPr>
          <w:rFonts w:hint="eastAsia" w:ascii="仿宋" w:hAnsi="仿宋" w:eastAsia="仿宋" w:cs="仿宋"/>
          <w:b w:val="0"/>
          <w:bCs w:val="0"/>
          <w:color w:val="auto"/>
          <w:sz w:val="24"/>
          <w:szCs w:val="24"/>
        </w:rPr>
      </w:pPr>
    </w:p>
    <w:p w14:paraId="35FDB091">
      <w:pPr>
        <w:rPr>
          <w:rFonts w:hint="eastAsia" w:ascii="仿宋" w:hAnsi="仿宋" w:eastAsia="仿宋" w:cstheme="minorBidi"/>
          <w:b/>
          <w:bCs w:val="0"/>
          <w:color w:val="000000"/>
          <w:kern w:val="2"/>
          <w:sz w:val="36"/>
          <w:szCs w:val="36"/>
          <w:lang w:val="en-US" w:eastAsia="zh-CN" w:bidi="ar-SA"/>
        </w:rPr>
      </w:pPr>
      <w:bookmarkStart w:id="45" w:name="_Toc10910"/>
      <w:r>
        <w:rPr>
          <w:rFonts w:hint="eastAsia" w:ascii="仿宋" w:hAnsi="仿宋" w:eastAsia="仿宋" w:cstheme="minorBidi"/>
          <w:b/>
          <w:bCs w:val="0"/>
          <w:color w:val="000000"/>
          <w:kern w:val="2"/>
          <w:sz w:val="36"/>
          <w:szCs w:val="36"/>
          <w:lang w:val="en-US" w:eastAsia="zh-CN" w:bidi="ar-SA"/>
        </w:rPr>
        <w:br w:type="page"/>
      </w:r>
    </w:p>
    <w:p w14:paraId="7FA792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仿宋" w:hAnsi="仿宋" w:eastAsia="仿宋"/>
          <w:b/>
          <w:bCs w:val="0"/>
          <w:color w:val="000000"/>
          <w:sz w:val="36"/>
          <w:szCs w:val="36"/>
          <w:highlight w:val="none"/>
        </w:rPr>
      </w:pPr>
      <w:r>
        <w:rPr>
          <w:rFonts w:hint="eastAsia" w:ascii="仿宋" w:hAnsi="仿宋" w:eastAsia="仿宋" w:cstheme="minorBidi"/>
          <w:b/>
          <w:bCs w:val="0"/>
          <w:color w:val="000000"/>
          <w:kern w:val="2"/>
          <w:sz w:val="36"/>
          <w:szCs w:val="36"/>
          <w:lang w:val="en-US" w:eastAsia="zh-CN" w:bidi="ar-SA"/>
        </w:rPr>
        <w:t>五、</w:t>
      </w:r>
      <w:r>
        <w:rPr>
          <w:rFonts w:hint="eastAsia" w:ascii="仿宋" w:hAnsi="仿宋" w:eastAsia="仿宋"/>
          <w:b/>
          <w:bCs w:val="0"/>
          <w:color w:val="000000"/>
          <w:sz w:val="36"/>
          <w:szCs w:val="36"/>
          <w:highlight w:val="none"/>
        </w:rPr>
        <w:t>第</w:t>
      </w:r>
      <w:r>
        <w:rPr>
          <w:rFonts w:hint="eastAsia" w:ascii="仿宋" w:hAnsi="仿宋" w:eastAsia="仿宋"/>
          <w:b/>
          <w:bCs w:val="0"/>
          <w:color w:val="000000"/>
          <w:sz w:val="36"/>
          <w:szCs w:val="36"/>
          <w:highlight w:val="none"/>
          <w:lang w:eastAsia="zh-CN"/>
        </w:rPr>
        <w:t>五</w:t>
      </w:r>
      <w:r>
        <w:rPr>
          <w:rFonts w:hint="eastAsia" w:ascii="仿宋" w:hAnsi="仿宋" w:eastAsia="仿宋"/>
          <w:b/>
          <w:bCs w:val="0"/>
          <w:color w:val="000000"/>
          <w:sz w:val="36"/>
          <w:szCs w:val="36"/>
          <w:highlight w:val="none"/>
        </w:rPr>
        <w:t xml:space="preserve">章 </w:t>
      </w:r>
      <w:r>
        <w:rPr>
          <w:rFonts w:hint="eastAsia" w:ascii="仿宋" w:hAnsi="仿宋" w:eastAsia="仿宋"/>
          <w:b/>
          <w:bCs w:val="0"/>
          <w:color w:val="000000"/>
          <w:sz w:val="36"/>
          <w:szCs w:val="36"/>
          <w:highlight w:val="none"/>
          <w:lang w:val="en-US" w:eastAsia="zh-CN"/>
        </w:rPr>
        <w:t>磋商内容、磋商过程中可实</w:t>
      </w:r>
      <w:r>
        <w:rPr>
          <w:rFonts w:hint="eastAsia" w:ascii="仿宋" w:hAnsi="仿宋" w:eastAsia="仿宋"/>
          <w:b/>
          <w:bCs w:val="0"/>
          <w:color w:val="000000"/>
          <w:sz w:val="36"/>
          <w:szCs w:val="36"/>
          <w:highlight w:val="none"/>
        </w:rPr>
        <w:t>质性变动的内容</w:t>
      </w:r>
      <w:bookmarkEnd w:id="43"/>
      <w:bookmarkEnd w:id="45"/>
    </w:p>
    <w:p w14:paraId="7B8AD8FD">
      <w:pPr>
        <w:pStyle w:val="24"/>
        <w:keepNext w:val="0"/>
        <w:keepLines w:val="0"/>
        <w:pageBreakBefore w:val="0"/>
        <w:widowControl w:val="0"/>
        <w:kinsoku/>
        <w:wordWrap/>
        <w:overflowPunct/>
        <w:topLinePunct w:val="0"/>
        <w:autoSpaceDE/>
        <w:autoSpaceDN/>
        <w:bidi w:val="0"/>
        <w:adjustRightInd/>
        <w:snapToGrid/>
        <w:ind w:firstLine="420"/>
        <w:textAlignment w:val="auto"/>
        <w:rPr>
          <w:rFonts w:hint="eastAsia" w:ascii="仿宋" w:hAnsi="仿宋" w:eastAsia="仿宋" w:cs="仿宋"/>
          <w:highlight w:val="none"/>
          <w:lang w:val="en-US" w:eastAsia="zh-CN"/>
        </w:rPr>
      </w:pPr>
      <w:bookmarkStart w:id="46" w:name="_Toc23968"/>
      <w:bookmarkStart w:id="47" w:name="_Toc511210242"/>
      <w:bookmarkStart w:id="48" w:name="_Toc16639"/>
      <w:r>
        <w:rPr>
          <w:rFonts w:hint="eastAsia" w:ascii="仿宋" w:hAnsi="仿宋" w:eastAsia="仿宋" w:cs="仿宋"/>
          <w:highlight w:val="none"/>
          <w:lang w:val="en-US" w:eastAsia="zh-CN"/>
        </w:rPr>
        <w:t>针对第四章、第八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bookmarkEnd w:id="46"/>
    </w:p>
    <w:p w14:paraId="4E0A60EC">
      <w:pPr>
        <w:rPr>
          <w:rFonts w:hint="eastAsia" w:ascii="仿宋" w:hAnsi="仿宋" w:eastAsia="仿宋" w:cstheme="minorBidi"/>
          <w:b/>
          <w:bCs/>
          <w:color w:val="000000"/>
          <w:kern w:val="44"/>
          <w:sz w:val="36"/>
          <w:szCs w:val="36"/>
          <w:highlight w:val="none"/>
          <w:lang w:val="en-US" w:eastAsia="zh-CN" w:bidi="ar-SA"/>
        </w:rPr>
      </w:pPr>
      <w:r>
        <w:rPr>
          <w:rFonts w:hint="eastAsia" w:ascii="仿宋" w:hAnsi="仿宋" w:eastAsia="仿宋" w:cstheme="minorBidi"/>
          <w:b/>
          <w:bCs/>
          <w:color w:val="000000"/>
          <w:kern w:val="44"/>
          <w:sz w:val="36"/>
          <w:szCs w:val="36"/>
          <w:highlight w:val="none"/>
          <w:lang w:val="en-US" w:eastAsia="zh-CN" w:bidi="ar-SA"/>
        </w:rPr>
        <w:br w:type="page"/>
      </w:r>
    </w:p>
    <w:p w14:paraId="57054FCE">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仿宋" w:hAnsi="仿宋" w:eastAsia="仿宋"/>
          <w:b/>
          <w:bCs w:val="0"/>
          <w:color w:val="000000"/>
          <w:sz w:val="36"/>
          <w:szCs w:val="36"/>
          <w:highlight w:val="none"/>
        </w:rPr>
      </w:pPr>
      <w:bookmarkStart w:id="49" w:name="_Toc6952"/>
      <w:r>
        <w:rPr>
          <w:rFonts w:hint="eastAsia" w:ascii="仿宋" w:hAnsi="仿宋" w:eastAsia="仿宋"/>
          <w:b/>
          <w:bCs w:val="0"/>
          <w:color w:val="000000"/>
          <w:sz w:val="36"/>
          <w:szCs w:val="36"/>
          <w:highlight w:val="none"/>
        </w:rPr>
        <w:t>第</w:t>
      </w:r>
      <w:r>
        <w:rPr>
          <w:rFonts w:hint="eastAsia" w:ascii="仿宋" w:hAnsi="仿宋" w:eastAsia="仿宋"/>
          <w:b/>
          <w:bCs w:val="0"/>
          <w:color w:val="000000"/>
          <w:sz w:val="36"/>
          <w:szCs w:val="36"/>
          <w:highlight w:val="none"/>
          <w:lang w:eastAsia="zh-CN"/>
        </w:rPr>
        <w:t>六</w:t>
      </w:r>
      <w:r>
        <w:rPr>
          <w:rFonts w:hint="eastAsia" w:ascii="仿宋" w:hAnsi="仿宋" w:eastAsia="仿宋"/>
          <w:b/>
          <w:bCs w:val="0"/>
          <w:color w:val="000000"/>
          <w:sz w:val="36"/>
          <w:szCs w:val="36"/>
          <w:highlight w:val="none"/>
        </w:rPr>
        <w:t>章 响应文件格式</w:t>
      </w:r>
      <w:bookmarkEnd w:id="49"/>
    </w:p>
    <w:bookmarkEnd w:id="47"/>
    <w:bookmarkEnd w:id="48"/>
    <w:p w14:paraId="2CFFDD3E">
      <w:pPr>
        <w:pStyle w:val="9"/>
        <w:rPr>
          <w:rFonts w:hint="eastAsia"/>
          <w:highlight w:val="none"/>
          <w:lang w:val="en-US" w:eastAsia="zh-CN"/>
        </w:rPr>
      </w:pPr>
    </w:p>
    <w:p w14:paraId="693A6F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一、本章所制响应文件格式，除格式中明确将该格式作为实质性要求的，一律不具有强制性。</w:t>
      </w:r>
    </w:p>
    <w:p w14:paraId="67BDBA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二、本章所制响应文件格式有关表格中的备注栏，由供应商根据自身响应情况作解释性说明，不作为必填项。</w:t>
      </w:r>
    </w:p>
    <w:p w14:paraId="1E8F1E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三、本章所制响应文件格式中需要填写的相关内容事项，可能会与本采购项目无关，在不改变响应文件原义、不影响本项目采购需求的情况下，供应商可以不予填写，但应当注明。</w:t>
      </w:r>
    </w:p>
    <w:p w14:paraId="0747079C">
      <w:pPr>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br w:type="page"/>
      </w:r>
    </w:p>
    <w:p w14:paraId="3ABAC68D">
      <w:pPr>
        <w:keepNext w:val="0"/>
        <w:keepLines w:val="0"/>
        <w:pageBreakBefore w:val="0"/>
        <w:widowControl w:val="0"/>
        <w:kinsoku/>
        <w:wordWrap/>
        <w:overflowPunct/>
        <w:topLinePunct w:val="0"/>
        <w:autoSpaceDE/>
        <w:autoSpaceDN/>
        <w:bidi w:val="0"/>
        <w:adjustRightInd/>
        <w:snapToGrid/>
        <w:jc w:val="center"/>
        <w:textAlignment w:val="auto"/>
        <w:outlineLvl w:val="1"/>
        <w:rPr>
          <w:rFonts w:ascii="仿宋" w:hAnsi="仿宋" w:eastAsia="仿宋"/>
          <w:b/>
          <w:sz w:val="32"/>
          <w:szCs w:val="32"/>
          <w:highlight w:val="none"/>
        </w:rPr>
      </w:pPr>
      <w:r>
        <w:rPr>
          <w:rFonts w:ascii="仿宋" w:hAnsi="仿宋" w:eastAsia="仿宋"/>
          <w:b/>
          <w:sz w:val="32"/>
          <w:highlight w:val="none"/>
        </w:rPr>
        <w:t xml:space="preserve">第一部分     </w:t>
      </w:r>
      <w:r>
        <w:rPr>
          <w:rFonts w:hint="eastAsia" w:ascii="仿宋" w:hAnsi="仿宋" w:eastAsia="仿宋"/>
          <w:b/>
          <w:sz w:val="32"/>
          <w:highlight w:val="none"/>
        </w:rPr>
        <w:t>“</w:t>
      </w:r>
      <w:r>
        <w:rPr>
          <w:rFonts w:ascii="仿宋" w:hAnsi="仿宋" w:eastAsia="仿宋"/>
          <w:b/>
          <w:sz w:val="32"/>
          <w:highlight w:val="none"/>
        </w:rPr>
        <w:t>资格性</w:t>
      </w:r>
      <w:r>
        <w:rPr>
          <w:rFonts w:hint="eastAsia" w:ascii="仿宋" w:hAnsi="仿宋" w:eastAsia="仿宋"/>
          <w:b/>
          <w:sz w:val="32"/>
          <w:highlight w:val="none"/>
        </w:rPr>
        <w:t>响应</w:t>
      </w:r>
      <w:r>
        <w:rPr>
          <w:rFonts w:ascii="仿宋" w:hAnsi="仿宋" w:eastAsia="仿宋"/>
          <w:b/>
          <w:sz w:val="32"/>
          <w:highlight w:val="none"/>
        </w:rPr>
        <w:t>文件</w:t>
      </w:r>
      <w:r>
        <w:rPr>
          <w:rFonts w:hint="eastAsia" w:ascii="仿宋" w:hAnsi="仿宋" w:eastAsia="仿宋"/>
          <w:b/>
          <w:sz w:val="32"/>
          <w:highlight w:val="none"/>
        </w:rPr>
        <w:t>”</w:t>
      </w:r>
      <w:r>
        <w:rPr>
          <w:rFonts w:ascii="仿宋" w:hAnsi="仿宋" w:eastAsia="仿宋"/>
          <w:b/>
          <w:sz w:val="32"/>
          <w:highlight w:val="none"/>
        </w:rPr>
        <w:t>格式</w:t>
      </w:r>
    </w:p>
    <w:p w14:paraId="317BD06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b/>
          <w:sz w:val="32"/>
          <w:szCs w:val="32"/>
          <w:highlight w:val="none"/>
        </w:rPr>
      </w:pPr>
      <w:r>
        <w:rPr>
          <w:rFonts w:hint="eastAsia" w:ascii="仿宋" w:hAnsi="仿宋" w:eastAsia="仿宋"/>
          <w:b/>
          <w:sz w:val="32"/>
          <w:szCs w:val="32"/>
          <w:highlight w:val="none"/>
        </w:rPr>
        <w:t>格式1-1</w:t>
      </w:r>
    </w:p>
    <w:p w14:paraId="159ECD0B">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b/>
          <w:sz w:val="32"/>
          <w:szCs w:val="32"/>
          <w:highlight w:val="none"/>
        </w:rPr>
      </w:pPr>
    </w:p>
    <w:p w14:paraId="5A657E83">
      <w:pPr>
        <w:keepNext w:val="0"/>
        <w:keepLines w:val="0"/>
        <w:pageBreakBefore w:val="0"/>
        <w:widowControl w:val="0"/>
        <w:kinsoku/>
        <w:wordWrap/>
        <w:overflowPunct/>
        <w:topLinePunct w:val="0"/>
        <w:autoSpaceDE/>
        <w:autoSpaceDN/>
        <w:bidi w:val="0"/>
        <w:adjustRightInd/>
        <w:snapToGrid/>
        <w:jc w:val="right"/>
        <w:textAlignment w:val="auto"/>
        <w:outlineLvl w:val="9"/>
        <w:rPr>
          <w:rFonts w:ascii="仿宋" w:hAnsi="仿宋" w:eastAsia="仿宋"/>
          <w:b/>
          <w:sz w:val="36"/>
          <w:highlight w:val="none"/>
        </w:rPr>
      </w:pPr>
      <w:r>
        <w:rPr>
          <w:rFonts w:ascii="仿宋" w:hAnsi="仿宋" w:eastAsia="仿宋"/>
          <w:b/>
          <w:sz w:val="36"/>
          <w:highlight w:val="none"/>
        </w:rPr>
        <w:t>（正本/副本）</w:t>
      </w:r>
    </w:p>
    <w:p w14:paraId="0B36841E">
      <w:pPr>
        <w:keepNext w:val="0"/>
        <w:keepLines w:val="0"/>
        <w:pageBreakBefore w:val="0"/>
        <w:widowControl w:val="0"/>
        <w:kinsoku/>
        <w:wordWrap/>
        <w:overflowPunct/>
        <w:topLinePunct w:val="0"/>
        <w:autoSpaceDE/>
        <w:autoSpaceDN/>
        <w:bidi w:val="0"/>
        <w:adjustRightInd/>
        <w:snapToGrid/>
        <w:textAlignment w:val="auto"/>
        <w:outlineLvl w:val="9"/>
        <w:rPr>
          <w:rFonts w:ascii="仿宋" w:hAnsi="仿宋" w:eastAsia="仿宋"/>
          <w:b/>
          <w:sz w:val="72"/>
          <w:highlight w:val="none"/>
        </w:rPr>
      </w:pPr>
    </w:p>
    <w:p w14:paraId="01FFF88A">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b/>
          <w:sz w:val="52"/>
          <w:szCs w:val="52"/>
          <w:highlight w:val="none"/>
          <w:lang w:eastAsia="zh-CN"/>
        </w:rPr>
      </w:pPr>
      <w:r>
        <w:rPr>
          <w:rFonts w:hint="eastAsia" w:ascii="仿宋" w:hAnsi="仿宋" w:eastAsia="仿宋"/>
          <w:b/>
          <w:sz w:val="52"/>
          <w:szCs w:val="52"/>
          <w:highlight w:val="none"/>
          <w:lang w:eastAsia="zh-CN"/>
        </w:rPr>
        <w:t>成都市技师学院（成都工贸职业技术学院）2025年电气教学实训耗材采购项目</w:t>
      </w:r>
    </w:p>
    <w:p w14:paraId="59B48CC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b/>
          <w:sz w:val="52"/>
          <w:szCs w:val="52"/>
          <w:highlight w:val="none"/>
        </w:rPr>
      </w:pPr>
    </w:p>
    <w:p w14:paraId="57B84B41">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b/>
          <w:sz w:val="52"/>
          <w:szCs w:val="52"/>
          <w:highlight w:val="none"/>
        </w:rPr>
      </w:pPr>
      <w:r>
        <w:rPr>
          <w:rFonts w:hint="eastAsia" w:ascii="仿宋" w:hAnsi="仿宋" w:eastAsia="仿宋"/>
          <w:b/>
          <w:sz w:val="52"/>
          <w:szCs w:val="52"/>
          <w:highlight w:val="none"/>
        </w:rPr>
        <w:t>资格性响应文件</w:t>
      </w:r>
    </w:p>
    <w:p w14:paraId="449A8D6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b/>
          <w:sz w:val="36"/>
          <w:highlight w:val="none"/>
        </w:rPr>
      </w:pPr>
    </w:p>
    <w:p w14:paraId="1E744C69">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 w:hAnsi="仿宋" w:eastAsia="仿宋"/>
          <w:b/>
          <w:sz w:val="32"/>
          <w:highlight w:val="none"/>
          <w:u w:val="single"/>
          <w:lang w:eastAsia="zh-CN"/>
        </w:rPr>
      </w:pPr>
      <w:r>
        <w:rPr>
          <w:rFonts w:hint="eastAsia" w:ascii="仿宋" w:hAnsi="仿宋" w:eastAsia="仿宋"/>
          <w:b/>
          <w:sz w:val="32"/>
          <w:highlight w:val="none"/>
        </w:rPr>
        <w:t>供 应 商</w:t>
      </w:r>
      <w:r>
        <w:rPr>
          <w:rFonts w:ascii="仿宋" w:hAnsi="仿宋" w:eastAsia="仿宋"/>
          <w:b/>
          <w:sz w:val="32"/>
          <w:highlight w:val="none"/>
        </w:rPr>
        <w:t>名称：</w:t>
      </w:r>
    </w:p>
    <w:p w14:paraId="1E6B10AF">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 w:hAnsi="仿宋" w:eastAsia="仿宋"/>
          <w:b/>
          <w:sz w:val="32"/>
          <w:highlight w:val="none"/>
          <w:u w:val="single"/>
          <w:lang w:eastAsia="zh-CN"/>
        </w:rPr>
      </w:pPr>
      <w:r>
        <w:rPr>
          <w:rFonts w:hint="eastAsia" w:ascii="仿宋" w:hAnsi="仿宋" w:eastAsia="仿宋"/>
          <w:b/>
          <w:sz w:val="32"/>
          <w:highlight w:val="none"/>
        </w:rPr>
        <w:t>项</w:t>
      </w:r>
      <w:r>
        <w:rPr>
          <w:rFonts w:hint="eastAsia" w:ascii="仿宋" w:hAnsi="仿宋" w:eastAsia="仿宋"/>
          <w:b/>
          <w:sz w:val="32"/>
          <w:highlight w:val="none"/>
          <w:lang w:val="en-US" w:eastAsia="zh-CN"/>
        </w:rPr>
        <w:t xml:space="preserve">  </w:t>
      </w:r>
      <w:r>
        <w:rPr>
          <w:rFonts w:hint="eastAsia" w:ascii="仿宋" w:hAnsi="仿宋" w:eastAsia="仿宋"/>
          <w:b/>
          <w:sz w:val="32"/>
          <w:highlight w:val="none"/>
        </w:rPr>
        <w:t>目</w:t>
      </w:r>
      <w:r>
        <w:rPr>
          <w:rFonts w:hint="eastAsia" w:ascii="仿宋" w:hAnsi="仿宋" w:eastAsia="仿宋"/>
          <w:b/>
          <w:sz w:val="32"/>
          <w:highlight w:val="none"/>
          <w:lang w:val="en-US" w:eastAsia="zh-CN"/>
        </w:rPr>
        <w:t xml:space="preserve"> </w:t>
      </w:r>
      <w:r>
        <w:rPr>
          <w:rFonts w:ascii="仿宋" w:hAnsi="仿宋" w:eastAsia="仿宋"/>
          <w:b/>
          <w:sz w:val="32"/>
          <w:highlight w:val="none"/>
        </w:rPr>
        <w:t>编</w:t>
      </w:r>
      <w:r>
        <w:rPr>
          <w:rFonts w:hint="eastAsia" w:ascii="仿宋" w:hAnsi="仿宋" w:eastAsia="仿宋"/>
          <w:b/>
          <w:sz w:val="32"/>
          <w:highlight w:val="none"/>
          <w:lang w:val="en-US" w:eastAsia="zh-CN"/>
        </w:rPr>
        <w:t xml:space="preserve"> </w:t>
      </w:r>
      <w:r>
        <w:rPr>
          <w:rFonts w:ascii="仿宋" w:hAnsi="仿宋" w:eastAsia="仿宋"/>
          <w:b/>
          <w:sz w:val="32"/>
          <w:highlight w:val="none"/>
        </w:rPr>
        <w:t>号：</w:t>
      </w:r>
      <w:r>
        <w:rPr>
          <w:rFonts w:hint="eastAsia" w:ascii="仿宋" w:hAnsi="仿宋" w:eastAsia="仿宋"/>
          <w:b/>
          <w:sz w:val="32"/>
          <w:highlight w:val="none"/>
          <w:lang w:eastAsia="zh-CN"/>
        </w:rPr>
        <w:t>HT-【采】20250319</w:t>
      </w:r>
    </w:p>
    <w:p w14:paraId="0994EE41">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 w:hAnsi="仿宋" w:eastAsia="仿宋"/>
          <w:b/>
          <w:sz w:val="32"/>
          <w:highlight w:val="none"/>
          <w:u w:val="single"/>
          <w:lang w:eastAsia="zh-CN"/>
        </w:rPr>
      </w:pPr>
      <w:r>
        <w:rPr>
          <w:rFonts w:hint="eastAsia" w:ascii="仿宋" w:hAnsi="仿宋" w:eastAsia="仿宋"/>
          <w:b/>
          <w:sz w:val="32"/>
          <w:highlight w:val="none"/>
          <w:lang w:val="en-US" w:eastAsia="zh-CN"/>
        </w:rPr>
        <w:t>采  购 包 号</w:t>
      </w:r>
      <w:r>
        <w:rPr>
          <w:rFonts w:hint="eastAsia" w:ascii="仿宋" w:hAnsi="仿宋" w:eastAsia="仿宋"/>
          <w:b/>
          <w:sz w:val="32"/>
          <w:highlight w:val="none"/>
        </w:rPr>
        <w:t>：</w:t>
      </w:r>
      <w:r>
        <w:rPr>
          <w:rFonts w:hint="eastAsia" w:ascii="仿宋" w:hAnsi="仿宋" w:eastAsia="仿宋"/>
          <w:b/>
          <w:sz w:val="32"/>
          <w:highlight w:val="none"/>
          <w:lang w:eastAsia="zh-CN"/>
        </w:rPr>
        <w:t>（若有）</w:t>
      </w:r>
    </w:p>
    <w:p w14:paraId="706E9739">
      <w:pPr>
        <w:keepNext w:val="0"/>
        <w:keepLines w:val="0"/>
        <w:pageBreakBefore w:val="0"/>
        <w:widowControl w:val="0"/>
        <w:kinsoku/>
        <w:wordWrap/>
        <w:overflowPunct/>
        <w:topLinePunct w:val="0"/>
        <w:autoSpaceDE/>
        <w:autoSpaceDN/>
        <w:bidi w:val="0"/>
        <w:adjustRightInd/>
        <w:snapToGrid/>
        <w:jc w:val="both"/>
        <w:textAlignment w:val="auto"/>
        <w:outlineLvl w:val="9"/>
        <w:rPr>
          <w:rFonts w:ascii="仿宋" w:hAnsi="仿宋" w:eastAsia="仿宋"/>
          <w:b/>
          <w:sz w:val="32"/>
          <w:szCs w:val="32"/>
          <w:highlight w:val="none"/>
        </w:rPr>
      </w:pPr>
    </w:p>
    <w:p w14:paraId="78D7C76F">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cs="Arial"/>
          <w:b/>
          <w:bCs/>
          <w:sz w:val="32"/>
          <w:szCs w:val="32"/>
          <w:highlight w:val="none"/>
        </w:rPr>
      </w:pPr>
      <w:r>
        <w:rPr>
          <w:rFonts w:ascii="仿宋" w:hAnsi="仿宋" w:eastAsia="仿宋"/>
          <w:b/>
          <w:sz w:val="32"/>
          <w:highlight w:val="none"/>
        </w:rPr>
        <w:t>日期：</w:t>
      </w:r>
      <w:r>
        <w:rPr>
          <w:rFonts w:hint="eastAsia" w:ascii="仿宋" w:hAnsi="仿宋" w:eastAsia="仿宋"/>
          <w:b/>
          <w:sz w:val="32"/>
          <w:highlight w:val="none"/>
        </w:rPr>
        <w:t>XX年XX</w:t>
      </w:r>
      <w:r>
        <w:rPr>
          <w:rFonts w:ascii="仿宋" w:hAnsi="仿宋" w:eastAsia="仿宋"/>
          <w:b/>
          <w:sz w:val="32"/>
          <w:highlight w:val="none"/>
        </w:rPr>
        <w:t>月</w:t>
      </w:r>
      <w:r>
        <w:rPr>
          <w:rFonts w:hint="eastAsia" w:ascii="仿宋" w:hAnsi="仿宋" w:eastAsia="仿宋"/>
          <w:b/>
          <w:sz w:val="32"/>
          <w:highlight w:val="none"/>
        </w:rPr>
        <w:t>XX</w:t>
      </w:r>
      <w:r>
        <w:rPr>
          <w:rFonts w:ascii="仿宋" w:hAnsi="仿宋" w:eastAsia="仿宋"/>
          <w:b/>
          <w:sz w:val="32"/>
          <w:highlight w:val="none"/>
        </w:rPr>
        <w:t>日</w:t>
      </w:r>
    </w:p>
    <w:p w14:paraId="5D2484E4">
      <w:pPr>
        <w:pStyle w:val="19"/>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lang w:val="en-US" w:eastAsia="zh-CN"/>
        </w:rPr>
      </w:pPr>
    </w:p>
    <w:p w14:paraId="4C854CA8">
      <w:pPr>
        <w:rPr>
          <w:rFonts w:hint="eastAsia" w:ascii="仿宋" w:hAnsi="仿宋" w:eastAsia="仿宋"/>
          <w:b/>
          <w:sz w:val="32"/>
          <w:szCs w:val="32"/>
          <w:highlight w:val="none"/>
        </w:rPr>
      </w:pPr>
      <w:r>
        <w:rPr>
          <w:rFonts w:hint="eastAsia" w:ascii="仿宋" w:hAnsi="仿宋" w:eastAsia="仿宋"/>
          <w:b/>
          <w:sz w:val="32"/>
          <w:szCs w:val="32"/>
          <w:highlight w:val="none"/>
        </w:rPr>
        <w:br w:type="page"/>
      </w:r>
    </w:p>
    <w:p w14:paraId="39FC262C">
      <w:pPr>
        <w:keepNext w:val="0"/>
        <w:keepLines w:val="0"/>
        <w:pageBreakBefore w:val="0"/>
        <w:kinsoku/>
        <w:wordWrap/>
        <w:overflowPunct/>
        <w:topLinePunct w:val="0"/>
        <w:autoSpaceDE/>
        <w:autoSpaceDN/>
        <w:bidi w:val="0"/>
        <w:snapToGrid/>
        <w:spacing w:line="360" w:lineRule="auto"/>
        <w:textAlignment w:val="auto"/>
        <w:outlineLvl w:val="9"/>
        <w:rPr>
          <w:rFonts w:ascii="仿宋" w:hAnsi="仿宋" w:eastAsia="仿宋" w:cs="仿宋"/>
          <w:b/>
          <w:bCs/>
          <w:sz w:val="28"/>
          <w:szCs w:val="28"/>
          <w:highlight w:val="none"/>
        </w:rPr>
      </w:pPr>
      <w:r>
        <w:rPr>
          <w:rFonts w:hint="eastAsia" w:ascii="仿宋" w:hAnsi="仿宋" w:eastAsia="仿宋"/>
          <w:b/>
          <w:sz w:val="32"/>
          <w:szCs w:val="32"/>
          <w:highlight w:val="none"/>
        </w:rPr>
        <w:t>格式1-2</w:t>
      </w:r>
      <w:r>
        <w:rPr>
          <w:rFonts w:hint="eastAsia" w:ascii="仿宋" w:hAnsi="仿宋" w:eastAsia="仿宋"/>
          <w:b/>
          <w:sz w:val="32"/>
          <w:szCs w:val="32"/>
          <w:highlight w:val="none"/>
          <w:lang w:eastAsia="zh-CN"/>
        </w:rPr>
        <w:t>一、</w:t>
      </w:r>
      <w:r>
        <w:rPr>
          <w:rFonts w:hint="eastAsia" w:ascii="仿宋" w:hAnsi="仿宋" w:eastAsia="仿宋" w:cs="仿宋"/>
          <w:b/>
          <w:bCs/>
          <w:spacing w:val="24"/>
          <w:sz w:val="28"/>
          <w:szCs w:val="28"/>
          <w:highlight w:val="none"/>
          <w:lang w:eastAsia="zh-CN"/>
        </w:rPr>
        <w:t>供应商</w:t>
      </w:r>
      <w:r>
        <w:rPr>
          <w:rFonts w:ascii="仿宋" w:hAnsi="仿宋" w:eastAsia="仿宋" w:cs="仿宋"/>
          <w:b/>
          <w:bCs/>
          <w:spacing w:val="17"/>
          <w:sz w:val="28"/>
          <w:szCs w:val="28"/>
          <w:highlight w:val="none"/>
        </w:rPr>
        <w:t>根据自身情况在</w:t>
      </w:r>
      <w:r>
        <w:rPr>
          <w:rFonts w:hint="eastAsia" w:ascii="仿宋" w:hAnsi="仿宋" w:eastAsia="仿宋" w:cs="仿宋"/>
          <w:b/>
          <w:bCs/>
          <w:spacing w:val="17"/>
          <w:sz w:val="28"/>
          <w:szCs w:val="28"/>
          <w:highlight w:val="none"/>
          <w:lang w:eastAsia="zh-CN"/>
        </w:rPr>
        <w:t>响应</w:t>
      </w:r>
      <w:r>
        <w:rPr>
          <w:rFonts w:ascii="仿宋" w:hAnsi="仿宋" w:eastAsia="仿宋" w:cs="仿宋"/>
          <w:b/>
          <w:bCs/>
          <w:spacing w:val="17"/>
          <w:sz w:val="28"/>
          <w:szCs w:val="28"/>
          <w:highlight w:val="none"/>
        </w:rPr>
        <w:t>文件中提供</w:t>
      </w:r>
      <w:r>
        <w:rPr>
          <w:rFonts w:hint="eastAsia" w:ascii="仿宋" w:hAnsi="仿宋" w:eastAsia="仿宋" w:cs="仿宋"/>
          <w:b/>
          <w:bCs/>
          <w:spacing w:val="17"/>
          <w:sz w:val="28"/>
          <w:szCs w:val="28"/>
          <w:highlight w:val="none"/>
          <w:lang w:eastAsia="zh-CN"/>
        </w:rPr>
        <w:t>（一）或（二）</w:t>
      </w:r>
    </w:p>
    <w:p w14:paraId="3A986CAC">
      <w:pPr>
        <w:pStyle w:val="58"/>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t>（一）授权委托书</w:t>
      </w:r>
    </w:p>
    <w:p w14:paraId="634E33B8">
      <w:pPr>
        <w:pStyle w:val="58"/>
        <w:pageBreakBefore w:val="0"/>
        <w:kinsoku/>
        <w:wordWrap/>
        <w:overflowPunct/>
        <w:topLinePunct w:val="0"/>
        <w:bidi w:val="0"/>
        <w:spacing w:line="360" w:lineRule="auto"/>
        <w:jc w:val="center"/>
        <w:rPr>
          <w:rFonts w:hint="eastAsia" w:ascii="仿宋" w:hAnsi="仿宋" w:eastAsia="仿宋" w:cstheme="minorBidi"/>
          <w:kern w:val="2"/>
          <w:sz w:val="24"/>
          <w:szCs w:val="22"/>
          <w:highlight w:val="none"/>
          <w:lang w:val="en-US" w:eastAsia="zh-CN" w:bidi="ar-SA"/>
        </w:rPr>
      </w:pPr>
      <w:r>
        <w:rPr>
          <w:rFonts w:hint="eastAsia" w:ascii="仿宋" w:hAnsi="仿宋" w:eastAsia="仿宋" w:cstheme="minorBidi"/>
          <w:kern w:val="2"/>
          <w:sz w:val="24"/>
          <w:szCs w:val="22"/>
          <w:highlight w:val="none"/>
          <w:lang w:val="en-US" w:eastAsia="zh-CN" w:bidi="ar-SA"/>
        </w:rPr>
        <w:t>（若供应商代表为“授权代表”时，提供此委托书）</w:t>
      </w:r>
    </w:p>
    <w:p w14:paraId="11FFD25B">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sz w:val="24"/>
          <w:highlight w:val="none"/>
          <w:lang w:eastAsia="zh-CN"/>
        </w:rPr>
      </w:pPr>
      <w:r>
        <w:rPr>
          <w:rFonts w:hint="eastAsia" w:ascii="仿宋" w:hAnsi="仿宋" w:eastAsia="仿宋"/>
          <w:sz w:val="24"/>
          <w:highlight w:val="none"/>
          <w:lang w:eastAsia="zh-CN"/>
        </w:rPr>
        <w:t>恒泰工程咨询集团有限公司</w:t>
      </w:r>
      <w:r>
        <w:rPr>
          <w:rFonts w:hint="eastAsia" w:ascii="仿宋" w:hAnsi="仿宋" w:eastAsia="仿宋"/>
          <w:sz w:val="24"/>
          <w:highlight w:val="none"/>
        </w:rPr>
        <w:t>：</w:t>
      </w:r>
    </w:p>
    <w:p w14:paraId="7B705A7E">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本人</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eastAsia="zh-CN"/>
        </w:rPr>
        <w:t>（姓名）系</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eastAsia="zh-CN"/>
        </w:rPr>
        <w:t>（供应商名称）的法定代表人（单位负责人），现委托</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eastAsia="zh-CN"/>
        </w:rPr>
        <w:t>（姓名）为我方代理人。代理人在本次采购中所签署的一切文件和处理的一切有关事宜，我公司（单位）均予承认，所产生的法律后果均由我公司（单位）承担。</w:t>
      </w:r>
    </w:p>
    <w:p w14:paraId="13EB971B">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委托期限：自本授权委托书签署之日起至响应文件有效期届满之日止。代理人无转委托权。</w:t>
      </w:r>
    </w:p>
    <w:p w14:paraId="36B49CE7">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供应商名称：XXXX（盖单位公章）</w:t>
      </w:r>
    </w:p>
    <w:p w14:paraId="477C5F84">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法定代表人（单位负责人）（签字或加盖个人名章）：XXXX。</w:t>
      </w:r>
    </w:p>
    <w:p w14:paraId="12430389">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授权代表（代理人）签字：XXXX。</w:t>
      </w:r>
    </w:p>
    <w:p w14:paraId="5CE2F063">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日    期：XXXX。</w:t>
      </w:r>
    </w:p>
    <w:p w14:paraId="33DA1777">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法定代表人（单位负责人）有效期内的居民身份证正反面</w:t>
      </w:r>
    </w:p>
    <w:tbl>
      <w:tblPr>
        <w:tblStyle w:val="25"/>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3D552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1E1120BF">
            <w:pPr>
              <w:tabs>
                <w:tab w:val="left" w:pos="5580"/>
              </w:tabs>
              <w:spacing w:line="360" w:lineRule="auto"/>
              <w:jc w:val="left"/>
              <w:rPr>
                <w:rFonts w:ascii="宋体" w:hAnsi="宋体"/>
                <w:color w:val="000000"/>
                <w:sz w:val="24"/>
                <w:szCs w:val="20"/>
                <w:highlight w:val="none"/>
              </w:rPr>
            </w:pPr>
          </w:p>
        </w:tc>
        <w:tc>
          <w:tcPr>
            <w:tcW w:w="2875" w:type="dxa"/>
            <w:noWrap w:val="0"/>
            <w:vAlign w:val="top"/>
          </w:tcPr>
          <w:p w14:paraId="305D3DD3">
            <w:pPr>
              <w:tabs>
                <w:tab w:val="left" w:pos="5580"/>
              </w:tabs>
              <w:spacing w:line="360" w:lineRule="auto"/>
              <w:jc w:val="left"/>
              <w:rPr>
                <w:rFonts w:ascii="宋体" w:hAnsi="宋体"/>
                <w:color w:val="000000"/>
                <w:sz w:val="24"/>
                <w:szCs w:val="20"/>
                <w:highlight w:val="none"/>
              </w:rPr>
            </w:pPr>
          </w:p>
        </w:tc>
      </w:tr>
    </w:tbl>
    <w:p w14:paraId="71785421">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lang w:eastAsia="zh-CN"/>
        </w:rPr>
        <w:t>授权代表（代理人）</w:t>
      </w:r>
      <w:r>
        <w:rPr>
          <w:rFonts w:hint="eastAsia" w:ascii="仿宋" w:hAnsi="仿宋" w:eastAsia="仿宋"/>
          <w:sz w:val="24"/>
          <w:highlight w:val="none"/>
          <w:lang w:val="en-US" w:eastAsia="zh-CN"/>
        </w:rPr>
        <w:t>有效期内的居民身份证正反面</w:t>
      </w:r>
    </w:p>
    <w:tbl>
      <w:tblPr>
        <w:tblStyle w:val="25"/>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7D992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72EBB0D5">
            <w:pPr>
              <w:tabs>
                <w:tab w:val="left" w:pos="5580"/>
              </w:tabs>
              <w:spacing w:line="360" w:lineRule="auto"/>
              <w:jc w:val="left"/>
              <w:rPr>
                <w:rFonts w:ascii="宋体" w:hAnsi="宋体"/>
                <w:color w:val="000000"/>
                <w:sz w:val="24"/>
                <w:szCs w:val="20"/>
                <w:highlight w:val="none"/>
              </w:rPr>
            </w:pPr>
          </w:p>
        </w:tc>
        <w:tc>
          <w:tcPr>
            <w:tcW w:w="2875" w:type="dxa"/>
            <w:noWrap w:val="0"/>
            <w:vAlign w:val="top"/>
          </w:tcPr>
          <w:p w14:paraId="5AFDBDB6">
            <w:pPr>
              <w:tabs>
                <w:tab w:val="left" w:pos="5580"/>
              </w:tabs>
              <w:spacing w:line="360" w:lineRule="auto"/>
              <w:jc w:val="left"/>
              <w:rPr>
                <w:rFonts w:ascii="宋体" w:hAnsi="宋体"/>
                <w:color w:val="000000"/>
                <w:sz w:val="24"/>
                <w:szCs w:val="20"/>
                <w:highlight w:val="none"/>
              </w:rPr>
            </w:pPr>
          </w:p>
        </w:tc>
      </w:tr>
    </w:tbl>
    <w:p w14:paraId="6909442F">
      <w:pPr>
        <w:ind w:firstLine="720" w:firstLineChars="300"/>
        <w:rPr>
          <w:rFonts w:hint="eastAsia" w:ascii="仿宋" w:hAnsi="仿宋" w:eastAsia="仿宋"/>
          <w:sz w:val="24"/>
          <w:highlight w:val="none"/>
          <w:lang w:eastAsia="zh-CN"/>
        </w:rPr>
      </w:pPr>
      <w:r>
        <w:rPr>
          <w:rFonts w:hint="eastAsia" w:ascii="仿宋" w:hAnsi="仿宋" w:eastAsia="仿宋"/>
          <w:sz w:val="24"/>
          <w:highlight w:val="none"/>
          <w:lang w:eastAsia="zh-CN"/>
        </w:rPr>
        <w:t>注：</w:t>
      </w:r>
      <w:r>
        <w:rPr>
          <w:rFonts w:hint="eastAsia" w:ascii="仿宋" w:hAnsi="仿宋" w:eastAsia="仿宋"/>
          <w:sz w:val="24"/>
          <w:highlight w:val="none"/>
          <w:lang w:val="en-US" w:eastAsia="zh-CN"/>
        </w:rPr>
        <w:t>1.</w:t>
      </w:r>
      <w:r>
        <w:rPr>
          <w:rFonts w:hint="eastAsia" w:ascii="仿宋" w:hAnsi="仿宋" w:eastAsia="仿宋"/>
          <w:sz w:val="24"/>
          <w:highlight w:val="none"/>
          <w:lang w:eastAsia="zh-CN"/>
        </w:rPr>
        <w:t>提供有效期内的身份证明材料，例如居民身份证或户口本或军官证或护照等；</w:t>
      </w:r>
      <w:r>
        <w:rPr>
          <w:rFonts w:hint="eastAsia" w:ascii="仿宋" w:hAnsi="仿宋" w:eastAsia="仿宋"/>
          <w:sz w:val="24"/>
          <w:highlight w:val="none"/>
          <w:lang w:val="en-US" w:eastAsia="zh-CN"/>
        </w:rPr>
        <w:t>2.</w:t>
      </w:r>
      <w:r>
        <w:rPr>
          <w:rFonts w:hint="eastAsia" w:ascii="仿宋" w:hAnsi="仿宋" w:eastAsia="仿宋"/>
          <w:sz w:val="24"/>
          <w:highlight w:val="none"/>
          <w:lang w:eastAsia="zh-CN"/>
        </w:rPr>
        <w:t>若提供居民身份证，须为正、反面复印件。</w:t>
      </w:r>
    </w:p>
    <w:p w14:paraId="5AC2F595">
      <w:pPr>
        <w:rPr>
          <w:rFonts w:hint="eastAsia" w:ascii="仿宋" w:hAnsi="仿宋" w:eastAsia="仿宋"/>
          <w:sz w:val="24"/>
          <w:highlight w:val="none"/>
          <w:lang w:eastAsia="zh-CN"/>
        </w:rPr>
      </w:pPr>
      <w:r>
        <w:rPr>
          <w:rFonts w:hint="eastAsia" w:ascii="仿宋" w:hAnsi="仿宋" w:eastAsia="仿宋"/>
          <w:sz w:val="24"/>
          <w:highlight w:val="none"/>
          <w:lang w:eastAsia="zh-CN"/>
        </w:rPr>
        <w:br w:type="page"/>
      </w:r>
    </w:p>
    <w:p w14:paraId="76FCDDB4">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3" w:firstLineChars="200"/>
        <w:jc w:val="center"/>
        <w:textAlignment w:val="auto"/>
        <w:outlineLvl w:val="9"/>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t>（二）法定代表人（单位负责人）身份证明</w:t>
      </w:r>
    </w:p>
    <w:p w14:paraId="22188988">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center"/>
        <w:textAlignment w:val="auto"/>
        <w:outlineLvl w:val="9"/>
        <w:rPr>
          <w:rFonts w:hint="eastAsia" w:ascii="仿宋" w:hAnsi="仿宋" w:eastAsia="仿宋" w:cstheme="minorBidi"/>
          <w:kern w:val="2"/>
          <w:sz w:val="24"/>
          <w:szCs w:val="22"/>
          <w:highlight w:val="none"/>
          <w:lang w:val="en-US" w:eastAsia="zh-CN" w:bidi="ar-SA"/>
        </w:rPr>
      </w:pPr>
      <w:r>
        <w:rPr>
          <w:rFonts w:hint="eastAsia" w:ascii="仿宋" w:hAnsi="仿宋" w:eastAsia="仿宋" w:cstheme="minorBidi"/>
          <w:kern w:val="2"/>
          <w:sz w:val="24"/>
          <w:szCs w:val="22"/>
          <w:highlight w:val="none"/>
          <w:lang w:val="en-US" w:eastAsia="zh-CN" w:bidi="ar-SA"/>
        </w:rPr>
        <w:t>（若供应商代表为“法定代表人（单位负责人）”时，提供此证明）</w:t>
      </w:r>
    </w:p>
    <w:p w14:paraId="143A0C70">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sz w:val="24"/>
          <w:highlight w:val="none"/>
          <w:lang w:eastAsia="zh-CN"/>
        </w:rPr>
      </w:pPr>
    </w:p>
    <w:p w14:paraId="1284EE7D">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sz w:val="24"/>
          <w:highlight w:val="none"/>
          <w:lang w:eastAsia="zh-CN"/>
        </w:rPr>
        <w:t>恒泰工程咨询集团有限公司</w:t>
      </w:r>
      <w:r>
        <w:rPr>
          <w:rFonts w:hint="eastAsia" w:ascii="仿宋" w:hAnsi="仿宋" w:eastAsia="仿宋"/>
          <w:sz w:val="24"/>
          <w:highlight w:val="none"/>
        </w:rPr>
        <w:t>：</w:t>
      </w:r>
    </w:p>
    <w:p w14:paraId="7621BEA2">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val="en-US" w:eastAsia="zh-CN"/>
        </w:rPr>
        <w:t>（姓名）系</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val="en-US" w:eastAsia="zh-CN"/>
        </w:rPr>
        <w:t>（供应商名称）的法定代表人（单位负责人）（职务</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val="en-US" w:eastAsia="zh-CN"/>
        </w:rPr>
        <w:t>）。</w:t>
      </w:r>
    </w:p>
    <w:p w14:paraId="7C1765FB">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特此证明。</w:t>
      </w:r>
    </w:p>
    <w:p w14:paraId="54DFB673">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outlineLvl w:val="9"/>
        <w:rPr>
          <w:rFonts w:hint="eastAsia" w:ascii="仿宋" w:hAnsi="仿宋" w:eastAsia="仿宋" w:cs="仿宋"/>
          <w:highlight w:val="none"/>
          <w:lang w:val="en-US" w:eastAsia="zh-CN"/>
        </w:rPr>
      </w:pPr>
    </w:p>
    <w:p w14:paraId="3D6415A7">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供应商名称：XXXX（盖单位公章）</w:t>
      </w:r>
    </w:p>
    <w:p w14:paraId="5849B139">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法定代表人（单位负责人）（签字或加盖个人名章）：XXXX。</w:t>
      </w:r>
    </w:p>
    <w:p w14:paraId="4A17BE66">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日    期：XXXX。</w:t>
      </w:r>
    </w:p>
    <w:p w14:paraId="7295EFBE">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u w:val="none"/>
          <w:lang w:val="en-US" w:eastAsia="zh-CN"/>
        </w:rPr>
      </w:pPr>
    </w:p>
    <w:p w14:paraId="3B01A127">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法定代表人（单位负责人）有效期内的居民身份证正反面</w:t>
      </w:r>
    </w:p>
    <w:tbl>
      <w:tblPr>
        <w:tblStyle w:val="25"/>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14:paraId="517B3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noWrap w:val="0"/>
            <w:vAlign w:val="top"/>
          </w:tcPr>
          <w:p w14:paraId="3B3D6C63">
            <w:pPr>
              <w:tabs>
                <w:tab w:val="left" w:pos="5580"/>
              </w:tabs>
              <w:spacing w:line="360" w:lineRule="auto"/>
              <w:jc w:val="left"/>
              <w:rPr>
                <w:rFonts w:ascii="宋体" w:hAnsi="宋体"/>
                <w:color w:val="000000"/>
                <w:sz w:val="24"/>
                <w:szCs w:val="20"/>
                <w:highlight w:val="none"/>
              </w:rPr>
            </w:pPr>
          </w:p>
        </w:tc>
        <w:tc>
          <w:tcPr>
            <w:tcW w:w="3398" w:type="dxa"/>
            <w:noWrap w:val="0"/>
            <w:vAlign w:val="top"/>
          </w:tcPr>
          <w:p w14:paraId="337AE8F2">
            <w:pPr>
              <w:tabs>
                <w:tab w:val="left" w:pos="5580"/>
              </w:tabs>
              <w:spacing w:line="360" w:lineRule="auto"/>
              <w:jc w:val="left"/>
              <w:rPr>
                <w:rFonts w:ascii="宋体" w:hAnsi="宋体"/>
                <w:color w:val="000000"/>
                <w:sz w:val="24"/>
                <w:szCs w:val="20"/>
                <w:highlight w:val="none"/>
              </w:rPr>
            </w:pPr>
          </w:p>
        </w:tc>
      </w:tr>
    </w:tbl>
    <w:p w14:paraId="584EBD41">
      <w:pPr>
        <w:pStyle w:val="2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仿宋" w:hAnsi="仿宋" w:eastAsia="仿宋" w:cs="仿宋"/>
          <w:b/>
          <w:bCs/>
          <w:i w:val="0"/>
          <w:iCs w:val="0"/>
          <w:color w:val="auto"/>
          <w:sz w:val="24"/>
          <w:szCs w:val="24"/>
          <w:highlight w:val="none"/>
          <w:u w:val="none"/>
          <w:lang w:val="en-US" w:eastAsia="zh-CN"/>
        </w:rPr>
      </w:pPr>
    </w:p>
    <w:p w14:paraId="4AD3A863">
      <w:pPr>
        <w:ind w:firstLine="480" w:firstLineChars="200"/>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sz w:val="24"/>
          <w:highlight w:val="none"/>
          <w:lang w:eastAsia="zh-CN"/>
        </w:rPr>
        <w:t>注：</w:t>
      </w:r>
      <w:r>
        <w:rPr>
          <w:rFonts w:hint="eastAsia" w:ascii="仿宋" w:hAnsi="仿宋" w:eastAsia="仿宋"/>
          <w:sz w:val="24"/>
          <w:highlight w:val="none"/>
          <w:lang w:val="en-US" w:eastAsia="zh-CN"/>
        </w:rPr>
        <w:t>1.</w:t>
      </w:r>
      <w:r>
        <w:rPr>
          <w:rFonts w:hint="eastAsia" w:ascii="仿宋" w:hAnsi="仿宋" w:eastAsia="仿宋"/>
          <w:sz w:val="24"/>
          <w:highlight w:val="none"/>
          <w:lang w:eastAsia="zh-CN"/>
        </w:rPr>
        <w:t>提供有效期内的身份证明材料，例如居民身份证或户口本或军官证或护照等；</w:t>
      </w:r>
      <w:r>
        <w:rPr>
          <w:rFonts w:hint="eastAsia" w:ascii="仿宋" w:hAnsi="仿宋" w:eastAsia="仿宋"/>
          <w:sz w:val="24"/>
          <w:highlight w:val="none"/>
          <w:lang w:val="en-US" w:eastAsia="zh-CN"/>
        </w:rPr>
        <w:t>2.</w:t>
      </w:r>
      <w:r>
        <w:rPr>
          <w:rFonts w:hint="eastAsia" w:ascii="仿宋" w:hAnsi="仿宋" w:eastAsia="仿宋"/>
          <w:sz w:val="24"/>
          <w:highlight w:val="none"/>
          <w:lang w:eastAsia="zh-CN"/>
        </w:rPr>
        <w:t>若提供居民身份证，须为正、反面复印件。</w:t>
      </w:r>
    </w:p>
    <w:p w14:paraId="43E0595D">
      <w:pPr>
        <w:keepNext w:val="0"/>
        <w:keepLines w:val="0"/>
        <w:pageBreakBefore w:val="0"/>
        <w:kinsoku/>
        <w:wordWrap/>
        <w:overflowPunct/>
        <w:topLinePunct w:val="0"/>
        <w:autoSpaceDE/>
        <w:autoSpaceDN/>
        <w:bidi w:val="0"/>
        <w:snapToGrid/>
        <w:spacing w:line="360" w:lineRule="auto"/>
        <w:textAlignment w:val="auto"/>
        <w:outlineLvl w:val="9"/>
        <w:rPr>
          <w:rFonts w:hint="eastAsia" w:ascii="仿宋" w:hAnsi="仿宋" w:eastAsia="仿宋"/>
          <w:b/>
          <w:sz w:val="32"/>
          <w:szCs w:val="32"/>
          <w:highlight w:val="none"/>
        </w:rPr>
      </w:pPr>
    </w:p>
    <w:p w14:paraId="05DDAB01">
      <w:pPr>
        <w:keepNext w:val="0"/>
        <w:keepLines w:val="0"/>
        <w:pageBreakBefore w:val="0"/>
        <w:kinsoku/>
        <w:wordWrap/>
        <w:overflowPunct/>
        <w:topLinePunct w:val="0"/>
        <w:autoSpaceDE/>
        <w:autoSpaceDN/>
        <w:bidi w:val="0"/>
        <w:snapToGrid/>
        <w:spacing w:line="360" w:lineRule="auto"/>
        <w:textAlignment w:val="auto"/>
        <w:outlineLvl w:val="9"/>
        <w:rPr>
          <w:rFonts w:ascii="仿宋" w:hAnsi="仿宋" w:eastAsia="仿宋"/>
          <w:b/>
          <w:sz w:val="32"/>
          <w:szCs w:val="32"/>
          <w:highlight w:val="none"/>
        </w:rPr>
      </w:pPr>
      <w:r>
        <w:rPr>
          <w:rFonts w:hint="eastAsia" w:ascii="仿宋" w:hAnsi="仿宋" w:eastAsia="仿宋"/>
          <w:b/>
          <w:sz w:val="32"/>
          <w:szCs w:val="32"/>
          <w:highlight w:val="none"/>
        </w:rPr>
        <w:br w:type="page"/>
      </w:r>
      <w:r>
        <w:rPr>
          <w:rFonts w:hint="eastAsia" w:ascii="仿宋" w:hAnsi="仿宋" w:eastAsia="仿宋"/>
          <w:b/>
          <w:sz w:val="32"/>
          <w:szCs w:val="32"/>
          <w:highlight w:val="none"/>
        </w:rPr>
        <w:t>格式1-3</w:t>
      </w:r>
    </w:p>
    <w:p w14:paraId="7BE98041">
      <w:pPr>
        <w:keepNext w:val="0"/>
        <w:keepLines w:val="0"/>
        <w:pageBreakBefore w:val="0"/>
        <w:widowControl/>
        <w:kinsoku/>
        <w:wordWrap/>
        <w:overflowPunct/>
        <w:topLinePunct w:val="0"/>
        <w:autoSpaceDE/>
        <w:autoSpaceDN/>
        <w:bidi w:val="0"/>
        <w:snapToGrid/>
        <w:spacing w:line="360" w:lineRule="atLeast"/>
        <w:jc w:val="center"/>
        <w:textAlignment w:val="auto"/>
        <w:outlineLvl w:val="9"/>
        <w:rPr>
          <w:rFonts w:ascii="仿宋" w:hAnsi="仿宋" w:eastAsia="仿宋"/>
          <w:b/>
          <w:sz w:val="24"/>
          <w:highlight w:val="none"/>
        </w:rPr>
      </w:pPr>
      <w:r>
        <w:rPr>
          <w:rFonts w:hint="eastAsia" w:ascii="仿宋" w:hAnsi="仿宋" w:eastAsia="仿宋"/>
          <w:b/>
          <w:sz w:val="32"/>
          <w:szCs w:val="32"/>
          <w:highlight w:val="none"/>
        </w:rPr>
        <w:t>二、承诺函</w:t>
      </w:r>
    </w:p>
    <w:p w14:paraId="78570396">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ascii="仿宋" w:hAnsi="仿宋" w:eastAsia="仿宋"/>
          <w:sz w:val="24"/>
          <w:highlight w:val="none"/>
        </w:rPr>
      </w:pPr>
      <w:r>
        <w:rPr>
          <w:rFonts w:hint="eastAsia" w:ascii="仿宋" w:hAnsi="仿宋" w:eastAsia="仿宋"/>
          <w:sz w:val="24"/>
          <w:highlight w:val="none"/>
          <w:lang w:eastAsia="zh-CN"/>
        </w:rPr>
        <w:t>恒泰工程咨询集团有限公司</w:t>
      </w:r>
      <w:r>
        <w:rPr>
          <w:rFonts w:hint="eastAsia" w:ascii="仿宋" w:hAnsi="仿宋" w:eastAsia="仿宋"/>
          <w:sz w:val="24"/>
          <w:highlight w:val="none"/>
        </w:rPr>
        <w:t>：</w:t>
      </w:r>
    </w:p>
    <w:p w14:paraId="36B5665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rPr>
        <w:t>我方全面研究了“</w:t>
      </w:r>
      <w:r>
        <w:rPr>
          <w:rFonts w:hint="eastAsia" w:ascii="仿宋" w:hAnsi="仿宋" w:eastAsia="仿宋"/>
          <w:sz w:val="24"/>
          <w:highlight w:val="none"/>
          <w:lang w:eastAsia="zh-CN"/>
        </w:rPr>
        <w:t>成都市技师学院（成都工贸职业技术学院）2025年电气教学实训耗材采购项目</w:t>
      </w:r>
      <w:r>
        <w:rPr>
          <w:rFonts w:hint="eastAsia" w:ascii="仿宋" w:hAnsi="仿宋" w:eastAsia="仿宋"/>
          <w:sz w:val="24"/>
          <w:highlight w:val="none"/>
        </w:rPr>
        <w:t>”</w:t>
      </w:r>
      <w:r>
        <w:rPr>
          <w:rFonts w:hint="eastAsia" w:ascii="仿宋" w:hAnsi="仿宋" w:eastAsia="仿宋"/>
          <w:sz w:val="24"/>
          <w:highlight w:val="none"/>
          <w:lang w:eastAsia="zh-CN"/>
        </w:rPr>
        <w:t>磋商</w:t>
      </w:r>
      <w:r>
        <w:rPr>
          <w:rFonts w:hint="eastAsia" w:ascii="仿宋" w:hAnsi="仿宋" w:eastAsia="仿宋"/>
          <w:sz w:val="24"/>
          <w:highlight w:val="none"/>
        </w:rPr>
        <w:t>文件（项目编号：</w:t>
      </w:r>
      <w:r>
        <w:rPr>
          <w:rFonts w:hint="eastAsia" w:ascii="仿宋" w:hAnsi="仿宋" w:eastAsia="仿宋"/>
          <w:sz w:val="24"/>
          <w:highlight w:val="none"/>
          <w:lang w:eastAsia="zh-CN"/>
        </w:rPr>
        <w:t>HT-【采】20250319</w:t>
      </w:r>
      <w:r>
        <w:rPr>
          <w:rFonts w:hint="eastAsia" w:ascii="仿宋" w:hAnsi="仿宋" w:eastAsia="仿宋"/>
          <w:sz w:val="24"/>
          <w:highlight w:val="none"/>
        </w:rPr>
        <w:t>），决定参加贵单位组织的本项目</w:t>
      </w:r>
      <w:r>
        <w:rPr>
          <w:rFonts w:hint="eastAsia" w:ascii="仿宋" w:hAnsi="仿宋" w:eastAsia="仿宋"/>
          <w:sz w:val="24"/>
          <w:highlight w:val="none"/>
          <w:lang w:eastAsia="zh-CN"/>
        </w:rPr>
        <w:t>磋商</w:t>
      </w:r>
      <w:r>
        <w:rPr>
          <w:rFonts w:hint="eastAsia" w:ascii="仿宋" w:hAnsi="仿宋" w:eastAsia="仿宋"/>
          <w:sz w:val="24"/>
          <w:highlight w:val="none"/>
        </w:rPr>
        <w:t>采购。</w:t>
      </w:r>
    </w:p>
    <w:p w14:paraId="34E7A71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lang w:val="en-US" w:eastAsia="zh-CN"/>
        </w:rPr>
        <w:t>1.</w:t>
      </w:r>
      <w:r>
        <w:rPr>
          <w:rFonts w:hint="eastAsia" w:ascii="仿宋" w:hAnsi="仿宋" w:eastAsia="仿宋"/>
          <w:sz w:val="24"/>
          <w:highlight w:val="none"/>
        </w:rPr>
        <w:t>具备</w:t>
      </w:r>
      <w:r>
        <w:rPr>
          <w:rFonts w:hint="eastAsia" w:ascii="仿宋" w:hAnsi="仿宋" w:eastAsia="仿宋"/>
          <w:sz w:val="24"/>
          <w:highlight w:val="none"/>
          <w:lang w:eastAsia="zh-CN"/>
        </w:rPr>
        <w:t>以下资格</w:t>
      </w:r>
      <w:r>
        <w:rPr>
          <w:rFonts w:hint="eastAsia" w:ascii="仿宋" w:hAnsi="仿宋" w:eastAsia="仿宋"/>
          <w:sz w:val="24"/>
          <w:highlight w:val="none"/>
        </w:rPr>
        <w:t>条件：</w:t>
      </w:r>
    </w:p>
    <w:p w14:paraId="3B5ABCF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1</w:t>
      </w:r>
      <w:r>
        <w:rPr>
          <w:rFonts w:hint="eastAsia" w:ascii="仿宋" w:hAnsi="仿宋" w:eastAsia="仿宋"/>
          <w:sz w:val="24"/>
          <w:highlight w:val="none"/>
        </w:rPr>
        <w:t>）具有独立承担民事责任的能力；</w:t>
      </w:r>
    </w:p>
    <w:p w14:paraId="5F85861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2</w:t>
      </w:r>
      <w:r>
        <w:rPr>
          <w:rFonts w:hint="eastAsia" w:ascii="仿宋" w:hAnsi="仿宋" w:eastAsia="仿宋"/>
          <w:sz w:val="24"/>
          <w:highlight w:val="none"/>
        </w:rPr>
        <w:t>）具有良好的商业信誉和健全的财务会计制度；</w:t>
      </w:r>
    </w:p>
    <w:p w14:paraId="16622C0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3</w:t>
      </w:r>
      <w:r>
        <w:rPr>
          <w:rFonts w:hint="eastAsia" w:ascii="仿宋" w:hAnsi="仿宋" w:eastAsia="仿宋"/>
          <w:sz w:val="24"/>
          <w:highlight w:val="none"/>
        </w:rPr>
        <w:t>）具有履行合同所必需的设备和专业技术能力；</w:t>
      </w:r>
    </w:p>
    <w:p w14:paraId="4E4DDD3C">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4</w:t>
      </w:r>
      <w:r>
        <w:rPr>
          <w:rFonts w:hint="eastAsia" w:ascii="仿宋" w:hAnsi="仿宋" w:eastAsia="仿宋"/>
          <w:sz w:val="24"/>
          <w:highlight w:val="none"/>
        </w:rPr>
        <w:t>）有依法缴纳税收和社会保障资金的良好记录；</w:t>
      </w:r>
    </w:p>
    <w:p w14:paraId="5925A66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5</w:t>
      </w:r>
      <w:r>
        <w:rPr>
          <w:rFonts w:hint="eastAsia" w:ascii="仿宋" w:hAnsi="仿宋" w:eastAsia="仿宋"/>
          <w:sz w:val="24"/>
          <w:highlight w:val="none"/>
        </w:rPr>
        <w:t>）参加采购活动前三年内，在经营活动中没有重大违法记录；</w:t>
      </w:r>
    </w:p>
    <w:p w14:paraId="48501CA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6</w:t>
      </w:r>
      <w:r>
        <w:rPr>
          <w:rFonts w:hint="eastAsia" w:ascii="仿宋" w:hAnsi="仿宋" w:eastAsia="仿宋"/>
          <w:sz w:val="24"/>
          <w:highlight w:val="none"/>
        </w:rPr>
        <w:t>）法律、行政法规规定的其他条件；</w:t>
      </w:r>
    </w:p>
    <w:p w14:paraId="2E1D925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7</w:t>
      </w:r>
      <w:r>
        <w:rPr>
          <w:rFonts w:hint="eastAsia" w:ascii="仿宋" w:hAnsi="仿宋" w:eastAsia="仿宋"/>
          <w:sz w:val="24"/>
          <w:highlight w:val="none"/>
        </w:rPr>
        <w:t>）根据采购项目提出的特殊条件</w:t>
      </w:r>
      <w:r>
        <w:rPr>
          <w:rFonts w:ascii="仿宋" w:hAnsi="仿宋" w:eastAsia="仿宋"/>
          <w:sz w:val="24"/>
          <w:highlight w:val="none"/>
        </w:rPr>
        <w:t>。</w:t>
      </w:r>
    </w:p>
    <w:p w14:paraId="4A354648">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b/>
          <w:bCs/>
          <w:sz w:val="24"/>
          <w:highlight w:val="none"/>
          <w:lang w:eastAsia="zh-CN"/>
        </w:rPr>
      </w:pPr>
      <w:r>
        <w:rPr>
          <w:rFonts w:hint="eastAsia" w:ascii="仿宋" w:hAnsi="仿宋" w:eastAsia="仿宋"/>
          <w:b/>
          <w:bCs/>
          <w:sz w:val="24"/>
          <w:highlight w:val="none"/>
          <w:lang w:val="en-US" w:eastAsia="zh-CN"/>
        </w:rPr>
        <w:t>2.</w:t>
      </w:r>
      <w:r>
        <w:rPr>
          <w:rFonts w:hint="eastAsia" w:ascii="仿宋" w:hAnsi="仿宋" w:eastAsia="仿宋"/>
          <w:b/>
          <w:bCs/>
          <w:sz w:val="24"/>
          <w:highlight w:val="none"/>
        </w:rPr>
        <w:t>我方已认真阅读并接受本项目</w:t>
      </w:r>
      <w:r>
        <w:rPr>
          <w:rFonts w:hint="eastAsia" w:ascii="仿宋" w:hAnsi="仿宋" w:eastAsia="仿宋"/>
          <w:b/>
          <w:bCs/>
          <w:sz w:val="24"/>
          <w:highlight w:val="none"/>
          <w:lang w:val="en-US" w:eastAsia="zh-CN"/>
        </w:rPr>
        <w:t>采购</w:t>
      </w:r>
      <w:r>
        <w:rPr>
          <w:rFonts w:hint="eastAsia" w:ascii="仿宋" w:hAnsi="仿宋" w:eastAsia="仿宋"/>
          <w:b/>
          <w:bCs/>
          <w:sz w:val="24"/>
          <w:highlight w:val="none"/>
        </w:rPr>
        <w:t>文件</w:t>
      </w:r>
      <w:r>
        <w:rPr>
          <w:rFonts w:hint="eastAsia" w:ascii="仿宋" w:hAnsi="仿宋" w:eastAsia="仿宋"/>
          <w:b/>
          <w:bCs/>
          <w:sz w:val="24"/>
          <w:highlight w:val="none"/>
          <w:lang w:val="en-US" w:eastAsia="zh-CN"/>
        </w:rPr>
        <w:t>内容</w:t>
      </w:r>
      <w:r>
        <w:rPr>
          <w:rFonts w:hint="eastAsia" w:ascii="仿宋" w:hAnsi="仿宋" w:eastAsia="仿宋"/>
          <w:b/>
          <w:bCs/>
          <w:sz w:val="24"/>
          <w:highlight w:val="none"/>
        </w:rPr>
        <w:t>，如对</w:t>
      </w:r>
      <w:r>
        <w:rPr>
          <w:rFonts w:hint="eastAsia" w:ascii="仿宋" w:hAnsi="仿宋" w:eastAsia="仿宋"/>
          <w:b/>
          <w:bCs/>
          <w:sz w:val="24"/>
          <w:highlight w:val="none"/>
          <w:lang w:val="en-US" w:eastAsia="zh-CN"/>
        </w:rPr>
        <w:t>采购</w:t>
      </w:r>
      <w:r>
        <w:rPr>
          <w:rFonts w:hint="eastAsia" w:ascii="仿宋" w:hAnsi="仿宋" w:eastAsia="仿宋"/>
          <w:b/>
          <w:bCs/>
          <w:sz w:val="24"/>
          <w:highlight w:val="none"/>
        </w:rPr>
        <w:t>文件有异议，已依法进行维权救济，不存在对</w:t>
      </w:r>
      <w:r>
        <w:rPr>
          <w:rFonts w:hint="eastAsia" w:ascii="仿宋" w:hAnsi="仿宋" w:eastAsia="仿宋"/>
          <w:b/>
          <w:bCs/>
          <w:sz w:val="24"/>
          <w:highlight w:val="none"/>
          <w:lang w:val="en-US" w:eastAsia="zh-CN"/>
        </w:rPr>
        <w:t>采购</w:t>
      </w:r>
      <w:r>
        <w:rPr>
          <w:rFonts w:hint="eastAsia" w:ascii="仿宋" w:hAnsi="仿宋" w:eastAsia="仿宋"/>
          <w:b/>
          <w:bCs/>
          <w:sz w:val="24"/>
          <w:highlight w:val="none"/>
        </w:rPr>
        <w:t>文件有异议的同时又参加</w:t>
      </w:r>
      <w:r>
        <w:rPr>
          <w:rFonts w:hint="eastAsia" w:ascii="仿宋" w:hAnsi="仿宋" w:eastAsia="仿宋"/>
          <w:b/>
          <w:bCs/>
          <w:sz w:val="24"/>
          <w:highlight w:val="none"/>
          <w:lang w:eastAsia="zh-CN"/>
        </w:rPr>
        <w:t>磋商</w:t>
      </w:r>
      <w:r>
        <w:rPr>
          <w:rFonts w:hint="eastAsia" w:ascii="仿宋" w:hAnsi="仿宋" w:eastAsia="仿宋"/>
          <w:b/>
          <w:bCs/>
          <w:sz w:val="24"/>
          <w:highlight w:val="none"/>
        </w:rPr>
        <w:t>以求侥幸成交或者为实现其他非法目的的行为。</w:t>
      </w:r>
      <w:r>
        <w:rPr>
          <w:rFonts w:hint="eastAsia" w:ascii="仿宋" w:hAnsi="仿宋" w:eastAsia="仿宋"/>
          <w:b/>
          <w:bCs/>
          <w:sz w:val="24"/>
          <w:highlight w:val="none"/>
          <w:lang w:eastAsia="zh-CN"/>
        </w:rPr>
        <w:t>若提起质疑，我方承诺将在一次性提出，且在质疑内容中提供对应的</w:t>
      </w:r>
      <w:r>
        <w:rPr>
          <w:rFonts w:hint="eastAsia" w:ascii="仿宋" w:hAnsi="仿宋" w:eastAsia="仿宋"/>
          <w:b/>
          <w:bCs/>
          <w:sz w:val="24"/>
          <w:highlight w:val="none"/>
          <w:lang w:val="en-US" w:eastAsia="zh-CN"/>
        </w:rPr>
        <w:t>事实依据、法律依据及</w:t>
      </w:r>
      <w:r>
        <w:rPr>
          <w:rFonts w:hint="eastAsia" w:ascii="仿宋" w:hAnsi="仿宋" w:eastAsia="仿宋"/>
          <w:b/>
          <w:bCs/>
          <w:sz w:val="24"/>
          <w:highlight w:val="none"/>
          <w:lang w:eastAsia="zh-CN"/>
        </w:rPr>
        <w:t>证明材料。</w:t>
      </w:r>
    </w:p>
    <w:p w14:paraId="3C4109F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highlight w:val="none"/>
        </w:rPr>
      </w:pPr>
      <w:r>
        <w:rPr>
          <w:rFonts w:hint="eastAsia" w:ascii="仿宋" w:hAnsi="仿宋" w:eastAsia="仿宋"/>
          <w:sz w:val="24"/>
          <w:highlight w:val="none"/>
          <w:lang w:val="en-US" w:eastAsia="zh-CN"/>
        </w:rPr>
        <w:t>3.</w:t>
      </w:r>
      <w:r>
        <w:rPr>
          <w:rFonts w:hint="eastAsia" w:ascii="仿宋" w:hAnsi="仿宋" w:eastAsia="仿宋"/>
          <w:sz w:val="24"/>
          <w:highlight w:val="none"/>
        </w:rPr>
        <w:t>本次</w:t>
      </w:r>
      <w:r>
        <w:rPr>
          <w:rFonts w:hint="eastAsia" w:ascii="仿宋" w:hAnsi="仿宋" w:eastAsia="仿宋"/>
          <w:sz w:val="24"/>
          <w:highlight w:val="none"/>
          <w:lang w:eastAsia="zh-CN"/>
        </w:rPr>
        <w:t>磋商</w:t>
      </w:r>
      <w:r>
        <w:rPr>
          <w:rFonts w:hint="eastAsia" w:ascii="仿宋" w:hAnsi="仿宋" w:eastAsia="仿宋"/>
          <w:sz w:val="24"/>
          <w:highlight w:val="none"/>
        </w:rPr>
        <w:t>，我方提交的响应文件有效期为提交磋商首次响应文件截止之日起90天。</w:t>
      </w:r>
    </w:p>
    <w:p w14:paraId="4BC70A5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lang w:val="en-US" w:eastAsia="zh-CN"/>
        </w:rPr>
      </w:pPr>
      <w:r>
        <w:rPr>
          <w:rFonts w:hint="eastAsia" w:ascii="仿宋" w:hAnsi="仿宋" w:eastAsia="仿宋"/>
          <w:sz w:val="24"/>
          <w:highlight w:val="none"/>
          <w:lang w:val="en-US" w:eastAsia="zh-CN"/>
        </w:rPr>
        <w:t>4.我方为本项目提交的“资格性响应文件”正本1份、副本2份、“其他响应文件”正本1份、副本2份，“电子档”1份（U盘），U盘中“加盖供应商公章的PDF版文件”，用于本次采购活动。</w:t>
      </w:r>
    </w:p>
    <w:p w14:paraId="547DF18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5.</w:t>
      </w:r>
      <w:r>
        <w:rPr>
          <w:rFonts w:hint="eastAsia" w:ascii="仿宋" w:hAnsi="仿宋" w:eastAsia="仿宋"/>
          <w:sz w:val="24"/>
          <w:highlight w:val="none"/>
        </w:rPr>
        <w:t>在参加本次采购活动中，不存在与单位负责人为同一人或者存在直接控股、管理关系的其他供应商参与同一合同项下的采购活动的行为。</w:t>
      </w:r>
    </w:p>
    <w:p w14:paraId="239EDCF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6.</w:t>
      </w:r>
      <w:r>
        <w:rPr>
          <w:rFonts w:hint="eastAsia" w:ascii="仿宋" w:hAnsi="仿宋" w:eastAsia="仿宋"/>
          <w:sz w:val="24"/>
          <w:highlight w:val="none"/>
        </w:rPr>
        <w:t>为采购项目提供整体设计、规范编制或者项目管理、监理、检测等服务的供应商，不得再参加该采购项目的其他采购活动，我方承诺不属于此类禁止参加本项目的供应商。</w:t>
      </w:r>
    </w:p>
    <w:p w14:paraId="1840A85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7.</w:t>
      </w:r>
      <w:r>
        <w:rPr>
          <w:rFonts w:hint="eastAsia" w:ascii="仿宋" w:hAnsi="仿宋" w:eastAsia="仿宋"/>
          <w:sz w:val="24"/>
          <w:highlight w:val="none"/>
        </w:rPr>
        <w:t>在参加本次采购活动中，不存在和其他供应商在同一合同项下的采购项目中，同时委托同一个自然人、同一家庭的人员、同一单位的人员作为代理人的行为。</w:t>
      </w:r>
    </w:p>
    <w:p w14:paraId="06C199C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8.</w:t>
      </w:r>
      <w:r>
        <w:rPr>
          <w:rFonts w:hint="eastAsia" w:ascii="仿宋" w:hAnsi="仿宋" w:eastAsia="仿宋"/>
          <w:sz w:val="24"/>
          <w:highlight w:val="none"/>
        </w:rPr>
        <w:t>我方实际控制人或者中高级管理人员，不存在同时是采购代理机构工作人员的情形。</w:t>
      </w:r>
    </w:p>
    <w:p w14:paraId="2DFA5D3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9.</w:t>
      </w:r>
      <w:r>
        <w:rPr>
          <w:rFonts w:hint="eastAsia" w:ascii="仿宋" w:hAnsi="仿宋" w:eastAsia="仿宋"/>
          <w:sz w:val="24"/>
          <w:highlight w:val="none"/>
        </w:rPr>
        <w:t>不存在同一母公司的两家以上的子公司，以不同供应商身份同时参加本项目同一合同项下的采购活动的情形。</w:t>
      </w:r>
    </w:p>
    <w:p w14:paraId="71FD084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10.</w:t>
      </w:r>
      <w:r>
        <w:rPr>
          <w:rFonts w:hint="eastAsia" w:ascii="仿宋" w:hAnsi="仿宋" w:eastAsia="仿宋"/>
          <w:sz w:val="24"/>
          <w:highlight w:val="none"/>
        </w:rPr>
        <w:t>我方与采购代理机构不存在关联关系，也不是采购代理机构的母公司或子公司。</w:t>
      </w:r>
    </w:p>
    <w:p w14:paraId="3FF8680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11.</w:t>
      </w:r>
      <w:r>
        <w:rPr>
          <w:rFonts w:hint="eastAsia" w:ascii="仿宋" w:hAnsi="仿宋" w:eastAsia="仿宋"/>
          <w:sz w:val="24"/>
          <w:highlight w:val="none"/>
        </w:rPr>
        <w:t>响应文件中提供的任何资料和技术、服务、商务等响应承诺情况都是真实的、有效的、合法的。</w:t>
      </w:r>
    </w:p>
    <w:p w14:paraId="63858AC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12.</w:t>
      </w:r>
      <w:r>
        <w:rPr>
          <w:rFonts w:hint="eastAsia" w:ascii="仿宋" w:hAnsi="仿宋" w:eastAsia="仿宋"/>
          <w:sz w:val="24"/>
          <w:highlight w:val="none"/>
        </w:rPr>
        <w:t>如本项目</w:t>
      </w:r>
      <w:r>
        <w:rPr>
          <w:rFonts w:hint="eastAsia" w:ascii="仿宋" w:hAnsi="仿宋" w:eastAsia="仿宋"/>
          <w:sz w:val="24"/>
          <w:highlight w:val="none"/>
          <w:lang w:eastAsia="zh-CN"/>
        </w:rPr>
        <w:t>磋商</w:t>
      </w:r>
      <w:r>
        <w:rPr>
          <w:rFonts w:hint="eastAsia" w:ascii="仿宋" w:hAnsi="仿宋" w:eastAsia="仿宋"/>
          <w:sz w:val="24"/>
          <w:highlight w:val="none"/>
        </w:rPr>
        <w:t>采购过程中需要提供样品，则我方提供的样品即为成交后将要提供的成交产品，我方对提供样品的性能和质量负责，因样品存在缺陷或者不符合</w:t>
      </w:r>
      <w:r>
        <w:rPr>
          <w:rFonts w:hint="eastAsia" w:ascii="仿宋" w:hAnsi="仿宋" w:eastAsia="仿宋"/>
          <w:sz w:val="24"/>
          <w:highlight w:val="none"/>
          <w:lang w:eastAsia="zh-CN"/>
        </w:rPr>
        <w:t>磋商</w:t>
      </w:r>
      <w:r>
        <w:rPr>
          <w:rFonts w:hint="eastAsia" w:ascii="仿宋" w:hAnsi="仿宋" w:eastAsia="仿宋"/>
          <w:sz w:val="24"/>
          <w:highlight w:val="none"/>
        </w:rPr>
        <w:t>文件要求导致未能成交的，我方愿意承担相应不利后果。</w:t>
      </w:r>
    </w:p>
    <w:p w14:paraId="100A28A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13.</w:t>
      </w:r>
      <w:r>
        <w:rPr>
          <w:rFonts w:hint="eastAsia" w:ascii="仿宋" w:hAnsi="仿宋" w:eastAsia="仿宋"/>
          <w:sz w:val="24"/>
          <w:highlight w:val="none"/>
        </w:rPr>
        <w:t>国家或行业主管部门对采购产品的技术标准、质量标准和资格资质条件等有强制性规定的，我方承诺符合其要求。</w:t>
      </w:r>
    </w:p>
    <w:p w14:paraId="08A494F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14.</w:t>
      </w:r>
      <w:r>
        <w:rPr>
          <w:rFonts w:hint="eastAsia" w:ascii="仿宋" w:hAnsi="仿宋" w:eastAsia="仿宋"/>
          <w:sz w:val="24"/>
          <w:highlight w:val="none"/>
        </w:rPr>
        <w:t>参加本次采购活动，我方完全同意</w:t>
      </w:r>
      <w:r>
        <w:rPr>
          <w:rFonts w:hint="eastAsia" w:ascii="仿宋" w:hAnsi="仿宋" w:eastAsia="仿宋"/>
          <w:sz w:val="24"/>
          <w:highlight w:val="none"/>
          <w:lang w:eastAsia="zh-CN"/>
        </w:rPr>
        <w:t>磋商</w:t>
      </w:r>
      <w:r>
        <w:rPr>
          <w:rFonts w:hint="eastAsia" w:ascii="仿宋" w:hAnsi="仿宋" w:eastAsia="仿宋"/>
          <w:sz w:val="24"/>
          <w:highlight w:val="none"/>
        </w:rPr>
        <w:t>文件第二章关于“</w:t>
      </w:r>
      <w:r>
        <w:rPr>
          <w:rFonts w:hint="eastAsia" w:ascii="仿宋" w:hAnsi="仿宋" w:eastAsia="仿宋"/>
          <w:sz w:val="24"/>
          <w:highlight w:val="none"/>
          <w:lang w:eastAsia="zh-CN"/>
        </w:rPr>
        <w:t>磋商</w:t>
      </w:r>
      <w:r>
        <w:rPr>
          <w:rFonts w:hint="eastAsia" w:ascii="仿宋" w:hAnsi="仿宋" w:eastAsia="仿宋"/>
          <w:sz w:val="24"/>
          <w:highlight w:val="none"/>
        </w:rPr>
        <w:t>费用”、“合同分包”、“合同转包”的实质性要求，并承诺严格按照</w:t>
      </w:r>
      <w:r>
        <w:rPr>
          <w:rFonts w:hint="eastAsia" w:ascii="仿宋" w:hAnsi="仿宋" w:eastAsia="仿宋"/>
          <w:sz w:val="24"/>
          <w:highlight w:val="none"/>
          <w:lang w:eastAsia="zh-CN"/>
        </w:rPr>
        <w:t>磋商</w:t>
      </w:r>
      <w:r>
        <w:rPr>
          <w:rFonts w:hint="eastAsia" w:ascii="仿宋" w:hAnsi="仿宋" w:eastAsia="仿宋"/>
          <w:sz w:val="24"/>
          <w:highlight w:val="none"/>
        </w:rPr>
        <w:t>文件要求履行。</w:t>
      </w:r>
    </w:p>
    <w:p w14:paraId="75720F7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15.</w:t>
      </w:r>
      <w:r>
        <w:rPr>
          <w:rFonts w:hint="eastAsia" w:ascii="仿宋" w:hAnsi="仿宋" w:eastAsia="仿宋"/>
          <w:sz w:val="24"/>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仿宋" w:hAnsi="仿宋" w:eastAsia="仿宋"/>
          <w:sz w:val="24"/>
          <w:highlight w:val="none"/>
          <w:lang w:eastAsia="zh-CN"/>
        </w:rPr>
        <w:t>磋商</w:t>
      </w:r>
      <w:r>
        <w:rPr>
          <w:rFonts w:hint="eastAsia" w:ascii="仿宋" w:hAnsi="仿宋" w:eastAsia="仿宋"/>
          <w:sz w:val="24"/>
          <w:highlight w:val="none"/>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001CB8B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16.</w:t>
      </w:r>
      <w:r>
        <w:rPr>
          <w:rFonts w:hint="eastAsia" w:ascii="仿宋" w:hAnsi="仿宋" w:eastAsia="仿宋"/>
          <w:sz w:val="24"/>
          <w:highlight w:val="none"/>
        </w:rPr>
        <w:t>我方自愿按照</w:t>
      </w:r>
      <w:r>
        <w:rPr>
          <w:rFonts w:hint="eastAsia" w:ascii="仿宋" w:hAnsi="仿宋" w:eastAsia="仿宋"/>
          <w:sz w:val="24"/>
          <w:highlight w:val="none"/>
          <w:lang w:eastAsia="zh-CN"/>
        </w:rPr>
        <w:t>磋商</w:t>
      </w:r>
      <w:r>
        <w:rPr>
          <w:rFonts w:hint="eastAsia" w:ascii="仿宋" w:hAnsi="仿宋" w:eastAsia="仿宋"/>
          <w:sz w:val="24"/>
          <w:highlight w:val="none"/>
        </w:rPr>
        <w:t>文件规定的各项要求向采购人提供所需货物</w:t>
      </w:r>
      <w:r>
        <w:rPr>
          <w:rFonts w:hint="eastAsia" w:ascii="仿宋" w:hAnsi="仿宋" w:eastAsia="仿宋"/>
          <w:sz w:val="24"/>
          <w:highlight w:val="none"/>
          <w:lang w:eastAsia="zh-CN"/>
        </w:rPr>
        <w:t>和</w:t>
      </w:r>
      <w:r>
        <w:rPr>
          <w:rFonts w:hint="eastAsia" w:ascii="仿宋" w:hAnsi="仿宋" w:eastAsia="仿宋"/>
          <w:sz w:val="24"/>
          <w:highlight w:val="none"/>
        </w:rPr>
        <w:t>服务。</w:t>
      </w:r>
    </w:p>
    <w:p w14:paraId="030B4A9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17.</w:t>
      </w:r>
      <w:r>
        <w:rPr>
          <w:rFonts w:hint="eastAsia" w:ascii="仿宋" w:hAnsi="仿宋" w:eastAsia="仿宋"/>
          <w:sz w:val="24"/>
          <w:highlight w:val="none"/>
        </w:rPr>
        <w:t>一旦我方成交，我方将严格履行采购合同规定的责任和义务。</w:t>
      </w:r>
    </w:p>
    <w:p w14:paraId="699452A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18.</w:t>
      </w:r>
      <w:r>
        <w:rPr>
          <w:rFonts w:hint="eastAsia" w:ascii="仿宋" w:hAnsi="仿宋" w:eastAsia="仿宋"/>
          <w:sz w:val="24"/>
          <w:highlight w:val="none"/>
        </w:rPr>
        <w:t>我方愿意提供贵单位可能另外要求的，与</w:t>
      </w:r>
      <w:r>
        <w:rPr>
          <w:rFonts w:hint="eastAsia" w:ascii="仿宋" w:hAnsi="仿宋" w:eastAsia="仿宋"/>
          <w:sz w:val="24"/>
          <w:highlight w:val="none"/>
          <w:lang w:eastAsia="zh-CN"/>
        </w:rPr>
        <w:t>磋商</w:t>
      </w:r>
      <w:r>
        <w:rPr>
          <w:rFonts w:hint="eastAsia" w:ascii="仿宋" w:hAnsi="仿宋" w:eastAsia="仿宋"/>
          <w:sz w:val="24"/>
          <w:highlight w:val="none"/>
        </w:rPr>
        <w:t>报价有关的文件资料，并保证我方已提供和将要提供的文件资料是真实、准确的。</w:t>
      </w:r>
    </w:p>
    <w:p w14:paraId="2B756AE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lang w:val="en-US" w:eastAsia="zh-CN"/>
        </w:rPr>
      </w:pPr>
      <w:r>
        <w:rPr>
          <w:rFonts w:hint="eastAsia" w:ascii="仿宋" w:hAnsi="仿宋" w:eastAsia="仿宋"/>
          <w:sz w:val="24"/>
          <w:highlight w:val="none"/>
          <w:lang w:val="en-US" w:eastAsia="zh-CN"/>
        </w:rPr>
        <w:t>19.我方保证按照磋商</w:t>
      </w:r>
      <w:r>
        <w:rPr>
          <w:rFonts w:hint="eastAsia" w:ascii="仿宋" w:hAnsi="仿宋" w:eastAsia="仿宋"/>
          <w:sz w:val="24"/>
          <w:highlight w:val="none"/>
          <w:lang w:val="zh-CN" w:eastAsia="zh-CN"/>
        </w:rPr>
        <w:t>文件</w:t>
      </w:r>
      <w:r>
        <w:rPr>
          <w:rFonts w:hint="eastAsia" w:ascii="仿宋" w:hAnsi="仿宋" w:eastAsia="仿宋"/>
          <w:sz w:val="24"/>
          <w:highlight w:val="none"/>
          <w:lang w:val="en-US" w:eastAsia="zh-CN"/>
        </w:rPr>
        <w:t>的规定向贵公司一次性支付采购代理服务费。如因我方自身原因造成取消成交资格或自愿放弃成交资格的，我方已交纳的采购代理服务费将不予退还，由此造成的损失由我方自行承担。</w:t>
      </w:r>
    </w:p>
    <w:p w14:paraId="5C65A30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lang w:val="en-US" w:eastAsia="zh-CN"/>
        </w:rPr>
      </w:pPr>
      <w:r>
        <w:rPr>
          <w:rFonts w:hint="eastAsia" w:ascii="仿宋" w:hAnsi="仿宋" w:eastAsia="仿宋"/>
          <w:sz w:val="24"/>
          <w:highlight w:val="none"/>
          <w:lang w:val="en-US" w:eastAsia="zh-CN"/>
        </w:rPr>
        <w:t>20.我方接受采购人按照采购合同约定金额支付采购资金，最后报价以《最后报价表》为准。</w:t>
      </w:r>
    </w:p>
    <w:p w14:paraId="1017D2B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rPr>
        <w:t>本单位对上述承诺的内容事项真实性负责。如经查实上述承诺的内容事项存在虚假，我单位愿意接受以提供虚假材料谋取成交追究法律责任。</w:t>
      </w:r>
    </w:p>
    <w:p w14:paraId="59E76E82">
      <w:pPr>
        <w:pStyle w:val="6"/>
        <w:keepNext w:val="0"/>
        <w:keepLines w:val="0"/>
        <w:pageBreakBefore w:val="0"/>
        <w:kinsoku/>
        <w:wordWrap/>
        <w:overflowPunct/>
        <w:topLinePunct w:val="0"/>
        <w:autoSpaceDE/>
        <w:autoSpaceDN/>
        <w:bidi w:val="0"/>
        <w:adjustRightInd/>
        <w:snapToGrid/>
        <w:spacing w:line="240" w:lineRule="auto"/>
        <w:textAlignment w:val="auto"/>
        <w:outlineLvl w:val="9"/>
        <w:rPr>
          <w:highlight w:val="none"/>
        </w:rPr>
      </w:pPr>
    </w:p>
    <w:p w14:paraId="68C4B7B9">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供应商名称：XXXX（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75725460">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14:paraId="4BD5DFB0">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日    期：XXXX</w:t>
      </w:r>
    </w:p>
    <w:p w14:paraId="15DD759F">
      <w:pPr>
        <w:jc w:val="center"/>
        <w:rPr>
          <w:rFonts w:hint="eastAsia"/>
          <w:highlight w:val="none"/>
        </w:rPr>
      </w:pPr>
      <w:r>
        <w:rPr>
          <w:rFonts w:hint="eastAsia"/>
          <w:highlight w:val="none"/>
        </w:rPr>
        <w:br w:type="page"/>
      </w:r>
    </w:p>
    <w:p w14:paraId="27E7252F">
      <w:pPr>
        <w:keepNext w:val="0"/>
        <w:keepLines w:val="0"/>
        <w:pageBreakBefore w:val="0"/>
        <w:kinsoku/>
        <w:wordWrap/>
        <w:overflowPunct/>
        <w:topLinePunct w:val="0"/>
        <w:autoSpaceDE/>
        <w:autoSpaceDN/>
        <w:bidi w:val="0"/>
        <w:snapToGrid/>
        <w:spacing w:line="360" w:lineRule="auto"/>
        <w:textAlignment w:val="auto"/>
        <w:outlineLvl w:val="9"/>
        <w:rPr>
          <w:rFonts w:hint="eastAsia" w:ascii="仿宋" w:hAnsi="仿宋" w:eastAsia="仿宋"/>
          <w:b/>
          <w:sz w:val="32"/>
          <w:szCs w:val="32"/>
          <w:highlight w:val="none"/>
          <w:lang w:val="en-US" w:eastAsia="zh-CN"/>
        </w:rPr>
      </w:pPr>
      <w:r>
        <w:rPr>
          <w:rFonts w:hint="eastAsia" w:ascii="仿宋" w:hAnsi="仿宋" w:eastAsia="仿宋"/>
          <w:b/>
          <w:sz w:val="32"/>
          <w:szCs w:val="32"/>
          <w:highlight w:val="none"/>
        </w:rPr>
        <w:t>格式1-</w:t>
      </w:r>
      <w:r>
        <w:rPr>
          <w:rFonts w:hint="eastAsia" w:ascii="仿宋" w:hAnsi="仿宋" w:eastAsia="仿宋"/>
          <w:b/>
          <w:sz w:val="32"/>
          <w:szCs w:val="32"/>
          <w:highlight w:val="none"/>
          <w:lang w:val="en-US" w:eastAsia="zh-CN"/>
        </w:rPr>
        <w:t>4</w:t>
      </w:r>
    </w:p>
    <w:p w14:paraId="534C6550">
      <w:pPr>
        <w:jc w:val="center"/>
        <w:rPr>
          <w:rFonts w:hint="eastAsia"/>
          <w:highlight w:val="none"/>
        </w:rPr>
      </w:pPr>
    </w:p>
    <w:p w14:paraId="1F555D75">
      <w:pPr>
        <w:jc w:val="center"/>
        <w:rPr>
          <w:rFonts w:hint="eastAsia" w:ascii="仿宋" w:hAnsi="仿宋" w:eastAsia="仿宋"/>
          <w:b/>
          <w:sz w:val="32"/>
          <w:szCs w:val="32"/>
          <w:highlight w:val="none"/>
        </w:rPr>
      </w:pPr>
      <w:r>
        <w:rPr>
          <w:rFonts w:hint="eastAsia" w:ascii="仿宋" w:hAnsi="仿宋" w:eastAsia="仿宋"/>
          <w:b/>
          <w:sz w:val="32"/>
          <w:szCs w:val="32"/>
          <w:highlight w:val="none"/>
          <w:lang w:val="en-US" w:eastAsia="zh-CN"/>
        </w:rPr>
        <w:t>三、</w:t>
      </w:r>
      <w:r>
        <w:rPr>
          <w:rFonts w:hint="eastAsia" w:ascii="仿宋" w:hAnsi="仿宋" w:eastAsia="仿宋"/>
          <w:b/>
          <w:sz w:val="32"/>
          <w:szCs w:val="32"/>
          <w:highlight w:val="none"/>
        </w:rPr>
        <w:t>供应商和报价产品其他资格、资质性的相关证明材料</w:t>
      </w:r>
    </w:p>
    <w:p w14:paraId="1AF6CF66">
      <w:pPr>
        <w:keepNext w:val="0"/>
        <w:keepLines w:val="0"/>
        <w:pageBreakBefore w:val="0"/>
        <w:kinsoku/>
        <w:wordWrap/>
        <w:overflowPunct/>
        <w:topLinePunct w:val="0"/>
        <w:autoSpaceDE/>
        <w:autoSpaceDN/>
        <w:bidi w:val="0"/>
        <w:snapToGrid/>
        <w:spacing w:line="360" w:lineRule="auto"/>
        <w:textAlignment w:val="auto"/>
        <w:outlineLvl w:val="9"/>
        <w:rPr>
          <w:rFonts w:ascii="仿宋" w:hAnsi="仿宋" w:eastAsia="仿宋" w:cs="宋体"/>
          <w:bCs/>
          <w:sz w:val="24"/>
          <w:highlight w:val="none"/>
        </w:rPr>
      </w:pPr>
      <w:r>
        <w:rPr>
          <w:rFonts w:hint="eastAsia" w:ascii="仿宋" w:hAnsi="仿宋" w:eastAsia="仿宋" w:cs="宋体"/>
          <w:bCs/>
          <w:sz w:val="24"/>
          <w:highlight w:val="none"/>
        </w:rPr>
        <w:t>注：供应商应按</w:t>
      </w:r>
      <w:r>
        <w:rPr>
          <w:rFonts w:hint="eastAsia" w:ascii="仿宋" w:hAnsi="仿宋" w:eastAsia="仿宋" w:cs="宋体"/>
          <w:bCs/>
          <w:sz w:val="24"/>
          <w:highlight w:val="none"/>
          <w:lang w:eastAsia="zh-CN"/>
        </w:rPr>
        <w:t>磋商</w:t>
      </w:r>
      <w:r>
        <w:rPr>
          <w:rFonts w:hint="eastAsia" w:ascii="仿宋" w:hAnsi="仿宋" w:eastAsia="仿宋" w:cs="宋体"/>
          <w:bCs/>
          <w:sz w:val="24"/>
          <w:highlight w:val="none"/>
        </w:rPr>
        <w:t>文件第</w:t>
      </w:r>
      <w:r>
        <w:rPr>
          <w:rFonts w:hint="eastAsia" w:ascii="仿宋" w:hAnsi="仿宋" w:eastAsia="仿宋" w:cs="宋体"/>
          <w:bCs/>
          <w:sz w:val="24"/>
          <w:highlight w:val="none"/>
          <w:lang w:eastAsia="zh-CN"/>
        </w:rPr>
        <w:t>三</w:t>
      </w:r>
      <w:r>
        <w:rPr>
          <w:rFonts w:hint="eastAsia" w:ascii="仿宋" w:hAnsi="仿宋" w:eastAsia="仿宋" w:cs="宋体"/>
          <w:bCs/>
          <w:sz w:val="24"/>
          <w:highlight w:val="none"/>
        </w:rPr>
        <w:t>章相关要求提供佐证材料，有格式要求的从其要求，无格式要求的格式自拟。</w:t>
      </w:r>
    </w:p>
    <w:p w14:paraId="5FFBC8BA">
      <w:pPr>
        <w:rPr>
          <w:rFonts w:hint="eastAsia"/>
          <w:highlight w:val="none"/>
        </w:rPr>
      </w:pPr>
      <w:r>
        <w:rPr>
          <w:rFonts w:hint="eastAsia"/>
          <w:highlight w:val="none"/>
        </w:rPr>
        <w:br w:type="page"/>
      </w:r>
    </w:p>
    <w:p w14:paraId="11136F50">
      <w:pPr>
        <w:pStyle w:val="34"/>
        <w:rPr>
          <w:rFonts w:hint="eastAsia"/>
          <w:highlight w:val="none"/>
        </w:rPr>
      </w:pPr>
    </w:p>
    <w:p w14:paraId="5DF18739">
      <w:pPr>
        <w:pStyle w:val="34"/>
        <w:rPr>
          <w:rFonts w:hint="eastAsia"/>
          <w:highlight w:val="none"/>
        </w:rPr>
      </w:pPr>
    </w:p>
    <w:p w14:paraId="4D74884D">
      <w:pPr>
        <w:keepNext w:val="0"/>
        <w:keepLines w:val="0"/>
        <w:pageBreakBefore w:val="0"/>
        <w:widowControl w:val="0"/>
        <w:kinsoku/>
        <w:wordWrap/>
        <w:overflowPunct/>
        <w:topLinePunct w:val="0"/>
        <w:autoSpaceDE/>
        <w:autoSpaceDN/>
        <w:bidi w:val="0"/>
        <w:adjustRightInd/>
        <w:snapToGrid/>
        <w:jc w:val="center"/>
        <w:textAlignment w:val="auto"/>
        <w:outlineLvl w:val="1"/>
        <w:rPr>
          <w:rFonts w:ascii="仿宋" w:hAnsi="仿宋" w:eastAsia="仿宋"/>
          <w:b/>
          <w:sz w:val="32"/>
          <w:highlight w:val="none"/>
        </w:rPr>
      </w:pPr>
      <w:r>
        <w:rPr>
          <w:rFonts w:ascii="仿宋" w:hAnsi="仿宋" w:eastAsia="仿宋"/>
          <w:b/>
          <w:sz w:val="32"/>
          <w:highlight w:val="none"/>
        </w:rPr>
        <w:t>第</w:t>
      </w:r>
      <w:r>
        <w:rPr>
          <w:rFonts w:hint="eastAsia" w:ascii="仿宋" w:hAnsi="仿宋" w:eastAsia="仿宋"/>
          <w:b/>
          <w:sz w:val="32"/>
          <w:highlight w:val="none"/>
        </w:rPr>
        <w:t>二</w:t>
      </w:r>
      <w:r>
        <w:rPr>
          <w:rFonts w:ascii="仿宋" w:hAnsi="仿宋" w:eastAsia="仿宋"/>
          <w:b/>
          <w:sz w:val="32"/>
          <w:highlight w:val="none"/>
        </w:rPr>
        <w:t xml:space="preserve">部分     </w:t>
      </w:r>
      <w:r>
        <w:rPr>
          <w:rFonts w:hint="eastAsia" w:ascii="仿宋" w:hAnsi="仿宋" w:eastAsia="仿宋"/>
          <w:b/>
          <w:sz w:val="32"/>
          <w:highlight w:val="none"/>
        </w:rPr>
        <w:t>“其他响应</w:t>
      </w:r>
      <w:r>
        <w:rPr>
          <w:rFonts w:ascii="仿宋" w:hAnsi="仿宋" w:eastAsia="仿宋"/>
          <w:b/>
          <w:sz w:val="32"/>
          <w:highlight w:val="none"/>
        </w:rPr>
        <w:t>文件</w:t>
      </w:r>
      <w:r>
        <w:rPr>
          <w:rFonts w:hint="eastAsia" w:ascii="仿宋" w:hAnsi="仿宋" w:eastAsia="仿宋"/>
          <w:b/>
          <w:sz w:val="32"/>
          <w:highlight w:val="none"/>
        </w:rPr>
        <w:t>”</w:t>
      </w:r>
      <w:r>
        <w:rPr>
          <w:rFonts w:ascii="仿宋" w:hAnsi="仿宋" w:eastAsia="仿宋"/>
          <w:b/>
          <w:sz w:val="32"/>
          <w:highlight w:val="none"/>
        </w:rPr>
        <w:t>格式</w:t>
      </w:r>
    </w:p>
    <w:p w14:paraId="5736EC33">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sz w:val="32"/>
          <w:szCs w:val="32"/>
          <w:highlight w:val="none"/>
        </w:rPr>
      </w:pPr>
      <w:r>
        <w:rPr>
          <w:rFonts w:hint="eastAsia" w:ascii="仿宋" w:hAnsi="仿宋" w:eastAsia="仿宋"/>
          <w:b/>
          <w:sz w:val="32"/>
          <w:szCs w:val="32"/>
          <w:highlight w:val="none"/>
        </w:rPr>
        <w:t>格式2-1</w:t>
      </w:r>
    </w:p>
    <w:p w14:paraId="37109130">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sz w:val="32"/>
          <w:szCs w:val="32"/>
          <w:highlight w:val="none"/>
        </w:rPr>
      </w:pPr>
      <w:r>
        <w:rPr>
          <w:rFonts w:hint="eastAsia" w:ascii="仿宋" w:hAnsi="仿宋" w:eastAsia="仿宋"/>
          <w:b/>
          <w:sz w:val="32"/>
          <w:szCs w:val="32"/>
          <w:highlight w:val="none"/>
        </w:rPr>
        <w:t>封面：</w:t>
      </w:r>
    </w:p>
    <w:p w14:paraId="1E0816A4">
      <w:pPr>
        <w:keepNext w:val="0"/>
        <w:keepLines w:val="0"/>
        <w:pageBreakBefore w:val="0"/>
        <w:widowControl w:val="0"/>
        <w:kinsoku/>
        <w:wordWrap/>
        <w:overflowPunct/>
        <w:topLinePunct w:val="0"/>
        <w:autoSpaceDE/>
        <w:autoSpaceDN/>
        <w:bidi w:val="0"/>
        <w:snapToGrid/>
        <w:spacing w:line="360" w:lineRule="auto"/>
        <w:jc w:val="right"/>
        <w:textAlignment w:val="auto"/>
        <w:outlineLvl w:val="9"/>
        <w:rPr>
          <w:rFonts w:ascii="仿宋" w:hAnsi="仿宋" w:eastAsia="仿宋"/>
          <w:b/>
          <w:sz w:val="36"/>
          <w:highlight w:val="none"/>
        </w:rPr>
      </w:pPr>
      <w:r>
        <w:rPr>
          <w:rFonts w:ascii="仿宋" w:hAnsi="仿宋" w:eastAsia="仿宋"/>
          <w:b/>
          <w:sz w:val="36"/>
          <w:highlight w:val="none"/>
        </w:rPr>
        <w:t>（正本/副本）</w:t>
      </w:r>
    </w:p>
    <w:p w14:paraId="4EEB1DDC">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sz w:val="32"/>
          <w:szCs w:val="32"/>
          <w:highlight w:val="none"/>
        </w:rPr>
      </w:pPr>
    </w:p>
    <w:p w14:paraId="35C7ABD8">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sz w:val="32"/>
          <w:szCs w:val="32"/>
          <w:highlight w:val="none"/>
        </w:rPr>
      </w:pPr>
    </w:p>
    <w:p w14:paraId="5D6057D2">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b/>
          <w:sz w:val="52"/>
          <w:szCs w:val="52"/>
          <w:highlight w:val="none"/>
          <w:lang w:eastAsia="zh-CN"/>
        </w:rPr>
      </w:pPr>
      <w:r>
        <w:rPr>
          <w:rFonts w:hint="eastAsia" w:ascii="仿宋" w:hAnsi="仿宋" w:eastAsia="仿宋"/>
          <w:b/>
          <w:sz w:val="52"/>
          <w:szCs w:val="52"/>
          <w:highlight w:val="none"/>
          <w:lang w:eastAsia="zh-CN"/>
        </w:rPr>
        <w:t>成都市技师学院（成都工贸职业技术学院）2025年电气教学实训耗材采购项目</w:t>
      </w:r>
    </w:p>
    <w:p w14:paraId="1EEA1ACF">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sz w:val="52"/>
          <w:szCs w:val="52"/>
          <w:highlight w:val="none"/>
        </w:rPr>
      </w:pPr>
    </w:p>
    <w:p w14:paraId="7DC3B9C4">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ascii="仿宋" w:hAnsi="仿宋" w:eastAsia="仿宋"/>
          <w:b/>
          <w:sz w:val="32"/>
          <w:szCs w:val="32"/>
          <w:highlight w:val="none"/>
        </w:rPr>
      </w:pPr>
      <w:r>
        <w:rPr>
          <w:rFonts w:hint="eastAsia" w:ascii="仿宋" w:hAnsi="仿宋" w:eastAsia="仿宋"/>
          <w:b/>
          <w:sz w:val="52"/>
          <w:szCs w:val="52"/>
          <w:highlight w:val="none"/>
        </w:rPr>
        <w:t>其他响应文件</w:t>
      </w:r>
    </w:p>
    <w:p w14:paraId="065A97DA">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sz w:val="36"/>
          <w:highlight w:val="none"/>
        </w:rPr>
      </w:pPr>
    </w:p>
    <w:p w14:paraId="76FD9312">
      <w:pPr>
        <w:keepNext w:val="0"/>
        <w:keepLines w:val="0"/>
        <w:pageBreakBefore w:val="0"/>
        <w:widowControl w:val="0"/>
        <w:kinsoku/>
        <w:wordWrap/>
        <w:overflowPunct/>
        <w:topLinePunct w:val="0"/>
        <w:autoSpaceDE/>
        <w:autoSpaceDN/>
        <w:bidi w:val="0"/>
        <w:snapToGrid/>
        <w:spacing w:line="360" w:lineRule="auto"/>
        <w:ind w:firstLine="643" w:firstLineChars="200"/>
        <w:jc w:val="left"/>
        <w:textAlignment w:val="auto"/>
        <w:outlineLvl w:val="9"/>
        <w:rPr>
          <w:rFonts w:ascii="仿宋" w:hAnsi="仿宋" w:eastAsia="仿宋"/>
          <w:b/>
          <w:sz w:val="32"/>
          <w:highlight w:val="none"/>
          <w:u w:val="single"/>
        </w:rPr>
      </w:pPr>
      <w:r>
        <w:rPr>
          <w:rFonts w:hint="eastAsia" w:ascii="仿宋" w:hAnsi="仿宋" w:eastAsia="仿宋"/>
          <w:b/>
          <w:sz w:val="32"/>
          <w:highlight w:val="none"/>
        </w:rPr>
        <w:t>供 应 商</w:t>
      </w:r>
      <w:r>
        <w:rPr>
          <w:rFonts w:ascii="仿宋" w:hAnsi="仿宋" w:eastAsia="仿宋"/>
          <w:b/>
          <w:sz w:val="32"/>
          <w:highlight w:val="none"/>
        </w:rPr>
        <w:t>名称：</w:t>
      </w:r>
    </w:p>
    <w:p w14:paraId="3CA81921">
      <w:pPr>
        <w:keepNext w:val="0"/>
        <w:keepLines w:val="0"/>
        <w:pageBreakBefore w:val="0"/>
        <w:widowControl w:val="0"/>
        <w:kinsoku/>
        <w:wordWrap/>
        <w:overflowPunct/>
        <w:topLinePunct w:val="0"/>
        <w:autoSpaceDE/>
        <w:autoSpaceDN/>
        <w:bidi w:val="0"/>
        <w:snapToGrid/>
        <w:spacing w:line="360" w:lineRule="auto"/>
        <w:ind w:firstLine="643" w:firstLineChars="200"/>
        <w:jc w:val="left"/>
        <w:textAlignment w:val="auto"/>
        <w:outlineLvl w:val="9"/>
        <w:rPr>
          <w:rFonts w:hint="eastAsia" w:ascii="仿宋" w:hAnsi="仿宋" w:eastAsia="仿宋"/>
          <w:b/>
          <w:sz w:val="32"/>
          <w:highlight w:val="none"/>
          <w:u w:val="single"/>
          <w:lang w:eastAsia="zh-CN"/>
        </w:rPr>
      </w:pPr>
      <w:r>
        <w:rPr>
          <w:rFonts w:hint="eastAsia" w:ascii="仿宋" w:hAnsi="仿宋" w:eastAsia="仿宋"/>
          <w:b/>
          <w:sz w:val="32"/>
          <w:highlight w:val="none"/>
        </w:rPr>
        <w:t>项</w:t>
      </w:r>
      <w:r>
        <w:rPr>
          <w:rFonts w:hint="eastAsia" w:ascii="仿宋" w:hAnsi="仿宋" w:eastAsia="仿宋"/>
          <w:b/>
          <w:sz w:val="32"/>
          <w:highlight w:val="none"/>
          <w:lang w:val="en-US" w:eastAsia="zh-CN"/>
        </w:rPr>
        <w:t xml:space="preserve"> </w:t>
      </w:r>
      <w:r>
        <w:rPr>
          <w:rFonts w:hint="eastAsia" w:ascii="仿宋" w:hAnsi="仿宋" w:eastAsia="仿宋"/>
          <w:b/>
          <w:sz w:val="32"/>
          <w:highlight w:val="none"/>
        </w:rPr>
        <w:t>目</w:t>
      </w:r>
      <w:r>
        <w:rPr>
          <w:rFonts w:hint="eastAsia" w:ascii="仿宋" w:hAnsi="仿宋" w:eastAsia="仿宋"/>
          <w:b/>
          <w:sz w:val="32"/>
          <w:highlight w:val="none"/>
          <w:lang w:val="en-US" w:eastAsia="zh-CN"/>
        </w:rPr>
        <w:t xml:space="preserve"> </w:t>
      </w:r>
      <w:r>
        <w:rPr>
          <w:rFonts w:ascii="仿宋" w:hAnsi="仿宋" w:eastAsia="仿宋"/>
          <w:b/>
          <w:sz w:val="32"/>
          <w:highlight w:val="none"/>
        </w:rPr>
        <w:t>编</w:t>
      </w:r>
      <w:r>
        <w:rPr>
          <w:rFonts w:hint="eastAsia" w:ascii="仿宋" w:hAnsi="仿宋" w:eastAsia="仿宋"/>
          <w:b/>
          <w:sz w:val="32"/>
          <w:highlight w:val="none"/>
          <w:lang w:val="en-US" w:eastAsia="zh-CN"/>
        </w:rPr>
        <w:t xml:space="preserve">  </w:t>
      </w:r>
      <w:r>
        <w:rPr>
          <w:rFonts w:ascii="仿宋" w:hAnsi="仿宋" w:eastAsia="仿宋"/>
          <w:b/>
          <w:sz w:val="32"/>
          <w:highlight w:val="none"/>
        </w:rPr>
        <w:t>号：</w:t>
      </w:r>
      <w:r>
        <w:rPr>
          <w:rFonts w:hint="eastAsia" w:ascii="仿宋" w:hAnsi="仿宋" w:eastAsia="仿宋"/>
          <w:b/>
          <w:sz w:val="32"/>
          <w:highlight w:val="none"/>
          <w:lang w:eastAsia="zh-CN"/>
        </w:rPr>
        <w:t>HT-【采】20250319</w:t>
      </w:r>
    </w:p>
    <w:p w14:paraId="27297AEB">
      <w:pPr>
        <w:keepNext w:val="0"/>
        <w:keepLines w:val="0"/>
        <w:pageBreakBefore w:val="0"/>
        <w:widowControl w:val="0"/>
        <w:kinsoku/>
        <w:wordWrap/>
        <w:overflowPunct/>
        <w:topLinePunct w:val="0"/>
        <w:autoSpaceDE/>
        <w:autoSpaceDN/>
        <w:bidi w:val="0"/>
        <w:snapToGrid/>
        <w:spacing w:line="360" w:lineRule="auto"/>
        <w:ind w:firstLine="643" w:firstLineChars="200"/>
        <w:jc w:val="left"/>
        <w:textAlignment w:val="auto"/>
        <w:outlineLvl w:val="9"/>
        <w:rPr>
          <w:rFonts w:hint="eastAsia" w:ascii="仿宋" w:hAnsi="仿宋" w:eastAsia="仿宋"/>
          <w:b/>
          <w:sz w:val="32"/>
          <w:highlight w:val="none"/>
          <w:u w:val="single"/>
          <w:lang w:eastAsia="zh-CN"/>
        </w:rPr>
      </w:pPr>
      <w:r>
        <w:rPr>
          <w:rFonts w:hint="eastAsia" w:ascii="仿宋" w:hAnsi="仿宋" w:eastAsia="仿宋"/>
          <w:b/>
          <w:sz w:val="32"/>
          <w:highlight w:val="none"/>
          <w:lang w:val="en-US" w:eastAsia="zh-CN"/>
        </w:rPr>
        <w:t>采  购 包 号</w:t>
      </w:r>
      <w:r>
        <w:rPr>
          <w:rFonts w:hint="eastAsia" w:ascii="仿宋" w:hAnsi="仿宋" w:eastAsia="仿宋"/>
          <w:b/>
          <w:sz w:val="32"/>
          <w:highlight w:val="none"/>
        </w:rPr>
        <w:t>：</w:t>
      </w:r>
      <w:r>
        <w:rPr>
          <w:rFonts w:hint="eastAsia" w:ascii="仿宋" w:hAnsi="仿宋" w:eastAsia="仿宋"/>
          <w:b/>
          <w:sz w:val="32"/>
          <w:highlight w:val="none"/>
          <w:lang w:eastAsia="zh-CN"/>
        </w:rPr>
        <w:t>（若有）</w:t>
      </w:r>
    </w:p>
    <w:p w14:paraId="6D79455A">
      <w:pPr>
        <w:keepNext w:val="0"/>
        <w:keepLines w:val="0"/>
        <w:pageBreakBefore w:val="0"/>
        <w:widowControl w:val="0"/>
        <w:kinsoku/>
        <w:wordWrap/>
        <w:overflowPunct/>
        <w:topLinePunct w:val="0"/>
        <w:autoSpaceDE/>
        <w:autoSpaceDN/>
        <w:bidi w:val="0"/>
        <w:snapToGrid/>
        <w:spacing w:line="360" w:lineRule="auto"/>
        <w:ind w:firstLine="790" w:firstLineChars="246"/>
        <w:jc w:val="center"/>
        <w:textAlignment w:val="auto"/>
        <w:outlineLvl w:val="9"/>
        <w:rPr>
          <w:rFonts w:ascii="仿宋" w:hAnsi="仿宋" w:eastAsia="仿宋"/>
          <w:b/>
          <w:sz w:val="32"/>
          <w:highlight w:val="none"/>
        </w:rPr>
      </w:pPr>
    </w:p>
    <w:p w14:paraId="13869444">
      <w:pPr>
        <w:keepNext w:val="0"/>
        <w:keepLines w:val="0"/>
        <w:pageBreakBefore w:val="0"/>
        <w:widowControl w:val="0"/>
        <w:kinsoku/>
        <w:wordWrap/>
        <w:overflowPunct/>
        <w:topLinePunct w:val="0"/>
        <w:autoSpaceDE/>
        <w:autoSpaceDN/>
        <w:bidi w:val="0"/>
        <w:snapToGrid/>
        <w:spacing w:line="360" w:lineRule="auto"/>
        <w:ind w:firstLine="790" w:firstLineChars="246"/>
        <w:jc w:val="center"/>
        <w:textAlignment w:val="auto"/>
        <w:outlineLvl w:val="9"/>
        <w:rPr>
          <w:rFonts w:ascii="仿宋" w:hAnsi="仿宋" w:eastAsia="仿宋"/>
          <w:b/>
          <w:sz w:val="32"/>
          <w:highlight w:val="none"/>
        </w:rPr>
      </w:pPr>
      <w:r>
        <w:rPr>
          <w:rFonts w:hint="eastAsia" w:ascii="仿宋" w:hAnsi="仿宋" w:eastAsia="仿宋"/>
          <w:b/>
          <w:sz w:val="32"/>
          <w:highlight w:val="none"/>
          <w:lang w:val="en-US" w:eastAsia="zh-CN"/>
        </w:rPr>
        <w:t>日期</w:t>
      </w:r>
      <w:r>
        <w:rPr>
          <w:rFonts w:ascii="仿宋" w:hAnsi="仿宋" w:eastAsia="仿宋"/>
          <w:b/>
          <w:sz w:val="32"/>
          <w:highlight w:val="none"/>
        </w:rPr>
        <w:t>：</w:t>
      </w:r>
      <w:r>
        <w:rPr>
          <w:rFonts w:hint="eastAsia" w:ascii="仿宋" w:hAnsi="仿宋" w:eastAsia="仿宋"/>
          <w:b/>
          <w:sz w:val="32"/>
          <w:highlight w:val="none"/>
        </w:rPr>
        <w:t>XX年XX</w:t>
      </w:r>
      <w:r>
        <w:rPr>
          <w:rFonts w:ascii="仿宋" w:hAnsi="仿宋" w:eastAsia="仿宋"/>
          <w:b/>
          <w:sz w:val="32"/>
          <w:highlight w:val="none"/>
        </w:rPr>
        <w:t>月</w:t>
      </w:r>
      <w:r>
        <w:rPr>
          <w:rFonts w:hint="eastAsia" w:ascii="仿宋" w:hAnsi="仿宋" w:eastAsia="仿宋"/>
          <w:b/>
          <w:sz w:val="32"/>
          <w:highlight w:val="none"/>
        </w:rPr>
        <w:t>XX</w:t>
      </w:r>
      <w:r>
        <w:rPr>
          <w:rFonts w:ascii="仿宋" w:hAnsi="仿宋" w:eastAsia="仿宋"/>
          <w:b/>
          <w:sz w:val="32"/>
          <w:highlight w:val="none"/>
        </w:rPr>
        <w:t>日</w:t>
      </w:r>
    </w:p>
    <w:p w14:paraId="610DDB3C">
      <w:pPr>
        <w:pStyle w:val="19"/>
        <w:keepNext w:val="0"/>
        <w:keepLines w:val="0"/>
        <w:pageBreakBefore w:val="0"/>
        <w:widowControl w:val="0"/>
        <w:kinsoku/>
        <w:wordWrap/>
        <w:overflowPunct/>
        <w:topLinePunct w:val="0"/>
        <w:autoSpaceDE/>
        <w:autoSpaceDN/>
        <w:bidi w:val="0"/>
        <w:snapToGrid/>
        <w:textAlignment w:val="auto"/>
        <w:outlineLvl w:val="9"/>
        <w:rPr>
          <w:rFonts w:ascii="仿宋" w:hAnsi="仿宋" w:eastAsia="仿宋"/>
          <w:b/>
          <w:sz w:val="32"/>
          <w:highlight w:val="none"/>
        </w:rPr>
      </w:pPr>
      <w:r>
        <w:rPr>
          <w:rFonts w:ascii="仿宋" w:hAnsi="仿宋" w:eastAsia="仿宋"/>
          <w:b/>
          <w:sz w:val="32"/>
          <w:highlight w:val="none"/>
        </w:rPr>
        <w:br w:type="page"/>
      </w:r>
    </w:p>
    <w:p w14:paraId="63FD5BA7">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sz w:val="32"/>
          <w:szCs w:val="32"/>
          <w:highlight w:val="none"/>
        </w:rPr>
      </w:pPr>
      <w:r>
        <w:rPr>
          <w:rFonts w:hint="eastAsia" w:ascii="仿宋" w:hAnsi="仿宋" w:eastAsia="仿宋"/>
          <w:b/>
          <w:sz w:val="32"/>
          <w:szCs w:val="32"/>
          <w:highlight w:val="none"/>
        </w:rPr>
        <w:t>格式2-2</w:t>
      </w:r>
    </w:p>
    <w:p w14:paraId="47E11CDB">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s="Arial"/>
          <w:b/>
          <w:bCs/>
          <w:sz w:val="32"/>
          <w:szCs w:val="32"/>
          <w:highlight w:val="none"/>
        </w:rPr>
      </w:pPr>
      <w:r>
        <w:rPr>
          <w:rFonts w:hint="eastAsia" w:ascii="仿宋" w:hAnsi="仿宋" w:eastAsia="仿宋" w:cs="Arial"/>
          <w:b/>
          <w:bCs/>
          <w:sz w:val="32"/>
          <w:szCs w:val="32"/>
          <w:highlight w:val="none"/>
        </w:rPr>
        <w:t>供应商基本情况表</w:t>
      </w:r>
    </w:p>
    <w:p w14:paraId="0F67CBF6">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s="Arial"/>
          <w:b/>
          <w:bCs/>
          <w:sz w:val="32"/>
          <w:szCs w:val="32"/>
          <w:highlight w:val="none"/>
        </w:rPr>
      </w:pPr>
    </w:p>
    <w:tbl>
      <w:tblPr>
        <w:tblStyle w:val="60"/>
        <w:tblW w:w="8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19"/>
        <w:gridCol w:w="1025"/>
        <w:gridCol w:w="2102"/>
        <w:gridCol w:w="1364"/>
        <w:gridCol w:w="2289"/>
      </w:tblGrid>
      <w:tr w14:paraId="79A13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1519" w:type="dxa"/>
            <w:tcBorders>
              <w:tl2br w:val="nil"/>
              <w:tr2bl w:val="nil"/>
            </w:tcBorders>
            <w:vAlign w:val="center"/>
          </w:tcPr>
          <w:p w14:paraId="76D33A96">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sz w:val="23"/>
                <w:szCs w:val="23"/>
                <w:highlight w:val="none"/>
                <w:lang w:val="en-US" w:eastAsia="zh-CN"/>
              </w:rPr>
              <w:t>供应商</w:t>
            </w:r>
            <w:r>
              <w:rPr>
                <w:rFonts w:hint="eastAsia" w:ascii="仿宋" w:hAnsi="仿宋" w:eastAsia="仿宋" w:cs="仿宋"/>
                <w:spacing w:val="7"/>
                <w:sz w:val="23"/>
                <w:szCs w:val="23"/>
                <w:highlight w:val="none"/>
              </w:rPr>
              <w:t>名称</w:t>
            </w:r>
          </w:p>
        </w:tc>
        <w:tc>
          <w:tcPr>
            <w:tcW w:w="6780" w:type="dxa"/>
            <w:gridSpan w:val="4"/>
            <w:tcBorders>
              <w:tl2br w:val="nil"/>
              <w:tr2bl w:val="nil"/>
            </w:tcBorders>
            <w:vAlign w:val="center"/>
          </w:tcPr>
          <w:p w14:paraId="50BE532B">
            <w:pPr>
              <w:jc w:val="center"/>
              <w:rPr>
                <w:rFonts w:hint="eastAsia" w:ascii="仿宋" w:hAnsi="仿宋" w:eastAsia="仿宋" w:cs="仿宋"/>
                <w:sz w:val="21"/>
                <w:highlight w:val="none"/>
              </w:rPr>
            </w:pPr>
          </w:p>
        </w:tc>
      </w:tr>
      <w:tr w14:paraId="15715B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25F179D9">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成立时间</w:t>
            </w:r>
          </w:p>
        </w:tc>
        <w:tc>
          <w:tcPr>
            <w:tcW w:w="3127" w:type="dxa"/>
            <w:gridSpan w:val="2"/>
            <w:tcBorders>
              <w:tl2br w:val="nil"/>
              <w:tr2bl w:val="nil"/>
            </w:tcBorders>
            <w:vAlign w:val="center"/>
          </w:tcPr>
          <w:p w14:paraId="3EE8B1E5">
            <w:pPr>
              <w:jc w:val="center"/>
              <w:rPr>
                <w:rFonts w:hint="eastAsia" w:ascii="仿宋" w:hAnsi="仿宋" w:eastAsia="仿宋" w:cs="仿宋"/>
                <w:sz w:val="21"/>
                <w:highlight w:val="none"/>
              </w:rPr>
            </w:pPr>
          </w:p>
        </w:tc>
        <w:tc>
          <w:tcPr>
            <w:tcW w:w="1364" w:type="dxa"/>
            <w:tcBorders>
              <w:tl2br w:val="nil"/>
              <w:tr2bl w:val="nil"/>
            </w:tcBorders>
            <w:vAlign w:val="center"/>
          </w:tcPr>
          <w:p w14:paraId="0B22F230">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员</w:t>
            </w:r>
            <w:r>
              <w:rPr>
                <w:rFonts w:hint="eastAsia" w:ascii="仿宋" w:hAnsi="仿宋" w:eastAsia="仿宋" w:cs="仿宋"/>
                <w:spacing w:val="6"/>
                <w:sz w:val="23"/>
                <w:szCs w:val="23"/>
                <w:highlight w:val="none"/>
              </w:rPr>
              <w:t>工总人数</w:t>
            </w:r>
          </w:p>
        </w:tc>
        <w:tc>
          <w:tcPr>
            <w:tcW w:w="2289" w:type="dxa"/>
            <w:tcBorders>
              <w:tl2br w:val="nil"/>
              <w:tr2bl w:val="nil"/>
            </w:tcBorders>
            <w:vAlign w:val="center"/>
          </w:tcPr>
          <w:p w14:paraId="25CA5212">
            <w:pPr>
              <w:jc w:val="center"/>
              <w:rPr>
                <w:rFonts w:hint="eastAsia" w:ascii="仿宋" w:hAnsi="仿宋" w:eastAsia="仿宋" w:cs="仿宋"/>
                <w:sz w:val="21"/>
                <w:highlight w:val="none"/>
              </w:rPr>
            </w:pPr>
          </w:p>
        </w:tc>
      </w:tr>
      <w:tr w14:paraId="713F8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2C4A2518">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z w:val="23"/>
                <w:szCs w:val="23"/>
                <w:highlight w:val="none"/>
              </w:rPr>
              <w:t>邮政编码</w:t>
            </w:r>
          </w:p>
        </w:tc>
        <w:tc>
          <w:tcPr>
            <w:tcW w:w="6780" w:type="dxa"/>
            <w:gridSpan w:val="4"/>
            <w:tcBorders>
              <w:tl2br w:val="nil"/>
              <w:tr2bl w:val="nil"/>
            </w:tcBorders>
            <w:vAlign w:val="center"/>
          </w:tcPr>
          <w:p w14:paraId="15C61299">
            <w:pPr>
              <w:jc w:val="center"/>
              <w:rPr>
                <w:rFonts w:hint="eastAsia" w:ascii="仿宋" w:hAnsi="仿宋" w:eastAsia="仿宋" w:cs="仿宋"/>
                <w:sz w:val="21"/>
                <w:highlight w:val="none"/>
              </w:rPr>
            </w:pPr>
          </w:p>
        </w:tc>
      </w:tr>
      <w:tr w14:paraId="642C1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519" w:type="dxa"/>
            <w:tcBorders>
              <w:tl2br w:val="nil"/>
              <w:tr2bl w:val="nil"/>
            </w:tcBorders>
            <w:vAlign w:val="center"/>
          </w:tcPr>
          <w:p w14:paraId="762F7677">
            <w:pPr>
              <w:spacing w:line="240" w:lineRule="auto"/>
              <w:ind w:left="0"/>
              <w:jc w:val="center"/>
              <w:rPr>
                <w:rFonts w:hint="eastAsia" w:ascii="仿宋" w:hAnsi="仿宋" w:eastAsia="仿宋" w:cs="仿宋"/>
                <w:spacing w:val="6"/>
                <w:sz w:val="23"/>
                <w:szCs w:val="23"/>
                <w:highlight w:val="none"/>
              </w:rPr>
            </w:pPr>
            <w:r>
              <w:rPr>
                <w:rFonts w:hint="eastAsia" w:ascii="仿宋" w:hAnsi="仿宋" w:eastAsia="仿宋" w:cs="仿宋"/>
                <w:spacing w:val="6"/>
                <w:sz w:val="23"/>
                <w:szCs w:val="23"/>
                <w:highlight w:val="none"/>
              </w:rPr>
              <w:t>营业地</w:t>
            </w:r>
            <w:r>
              <w:rPr>
                <w:rFonts w:hint="eastAsia" w:ascii="仿宋" w:hAnsi="仿宋" w:eastAsia="仿宋" w:cs="仿宋"/>
                <w:spacing w:val="5"/>
                <w:sz w:val="23"/>
                <w:szCs w:val="23"/>
                <w:highlight w:val="none"/>
              </w:rPr>
              <w:t>址</w:t>
            </w:r>
          </w:p>
        </w:tc>
        <w:tc>
          <w:tcPr>
            <w:tcW w:w="6780" w:type="dxa"/>
            <w:gridSpan w:val="4"/>
            <w:tcBorders>
              <w:tl2br w:val="nil"/>
              <w:tr2bl w:val="nil"/>
            </w:tcBorders>
            <w:vAlign w:val="center"/>
          </w:tcPr>
          <w:p w14:paraId="7E152F91">
            <w:pPr>
              <w:jc w:val="center"/>
              <w:rPr>
                <w:rFonts w:hint="eastAsia" w:ascii="仿宋" w:hAnsi="仿宋" w:eastAsia="仿宋" w:cs="仿宋"/>
                <w:sz w:val="21"/>
                <w:highlight w:val="none"/>
              </w:rPr>
            </w:pPr>
          </w:p>
        </w:tc>
      </w:tr>
      <w:tr w14:paraId="15E24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1519" w:type="dxa"/>
            <w:tcBorders>
              <w:tl2br w:val="nil"/>
              <w:tr2bl w:val="nil"/>
            </w:tcBorders>
            <w:vAlign w:val="center"/>
          </w:tcPr>
          <w:p w14:paraId="03FAC1F2">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position w:val="17"/>
                <w:sz w:val="23"/>
                <w:szCs w:val="23"/>
                <w:highlight w:val="none"/>
              </w:rPr>
              <w:t>统一社会</w:t>
            </w:r>
            <w:r>
              <w:rPr>
                <w:rFonts w:hint="eastAsia" w:ascii="仿宋" w:hAnsi="仿宋" w:eastAsia="仿宋" w:cs="仿宋"/>
                <w:spacing w:val="6"/>
                <w:position w:val="17"/>
                <w:sz w:val="23"/>
                <w:szCs w:val="23"/>
                <w:highlight w:val="none"/>
              </w:rPr>
              <w:t>信</w:t>
            </w:r>
          </w:p>
          <w:p w14:paraId="380F3B2F">
            <w:pPr>
              <w:spacing w:line="240" w:lineRule="auto"/>
              <w:ind w:left="0"/>
              <w:jc w:val="center"/>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用代码</w:t>
            </w:r>
          </w:p>
        </w:tc>
        <w:tc>
          <w:tcPr>
            <w:tcW w:w="6780" w:type="dxa"/>
            <w:gridSpan w:val="4"/>
            <w:tcBorders>
              <w:tl2br w:val="nil"/>
              <w:tr2bl w:val="nil"/>
            </w:tcBorders>
            <w:vAlign w:val="center"/>
          </w:tcPr>
          <w:p w14:paraId="0D649C0D">
            <w:pPr>
              <w:jc w:val="center"/>
              <w:rPr>
                <w:rFonts w:hint="eastAsia" w:ascii="仿宋" w:hAnsi="仿宋" w:eastAsia="仿宋" w:cs="仿宋"/>
                <w:sz w:val="21"/>
                <w:highlight w:val="none"/>
              </w:rPr>
            </w:pPr>
          </w:p>
        </w:tc>
      </w:tr>
      <w:tr w14:paraId="1BC47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1FF39DC4">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开</w:t>
            </w:r>
            <w:r>
              <w:rPr>
                <w:rFonts w:hint="eastAsia" w:ascii="仿宋" w:hAnsi="仿宋" w:eastAsia="仿宋" w:cs="仿宋"/>
                <w:spacing w:val="7"/>
                <w:sz w:val="23"/>
                <w:szCs w:val="23"/>
                <w:highlight w:val="none"/>
              </w:rPr>
              <w:t>户银行</w:t>
            </w:r>
          </w:p>
        </w:tc>
        <w:tc>
          <w:tcPr>
            <w:tcW w:w="3127" w:type="dxa"/>
            <w:gridSpan w:val="2"/>
            <w:tcBorders>
              <w:tl2br w:val="nil"/>
              <w:tr2bl w:val="nil"/>
            </w:tcBorders>
            <w:vAlign w:val="center"/>
          </w:tcPr>
          <w:p w14:paraId="77094504">
            <w:pPr>
              <w:jc w:val="center"/>
              <w:rPr>
                <w:rFonts w:hint="eastAsia" w:ascii="仿宋" w:hAnsi="仿宋" w:eastAsia="仿宋" w:cs="仿宋"/>
                <w:sz w:val="21"/>
                <w:highlight w:val="none"/>
              </w:rPr>
            </w:pPr>
          </w:p>
        </w:tc>
        <w:tc>
          <w:tcPr>
            <w:tcW w:w="1364" w:type="dxa"/>
            <w:tcBorders>
              <w:tl2br w:val="nil"/>
              <w:tr2bl w:val="nil"/>
            </w:tcBorders>
            <w:vAlign w:val="center"/>
          </w:tcPr>
          <w:p w14:paraId="0404712E">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3"/>
                <w:sz w:val="23"/>
                <w:szCs w:val="23"/>
                <w:highlight w:val="none"/>
              </w:rPr>
              <w:t>账号</w:t>
            </w:r>
          </w:p>
        </w:tc>
        <w:tc>
          <w:tcPr>
            <w:tcW w:w="2289" w:type="dxa"/>
            <w:tcBorders>
              <w:tl2br w:val="nil"/>
              <w:tr2bl w:val="nil"/>
            </w:tcBorders>
            <w:vAlign w:val="center"/>
          </w:tcPr>
          <w:p w14:paraId="23C0DAFF">
            <w:pPr>
              <w:jc w:val="center"/>
              <w:rPr>
                <w:rFonts w:hint="eastAsia" w:ascii="仿宋" w:hAnsi="仿宋" w:eastAsia="仿宋" w:cs="仿宋"/>
                <w:sz w:val="21"/>
                <w:highlight w:val="none"/>
              </w:rPr>
            </w:pPr>
          </w:p>
        </w:tc>
      </w:tr>
      <w:tr w14:paraId="75AD9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vMerge w:val="restart"/>
            <w:tcBorders>
              <w:tl2br w:val="nil"/>
              <w:tr2bl w:val="nil"/>
            </w:tcBorders>
            <w:vAlign w:val="center"/>
          </w:tcPr>
          <w:p w14:paraId="76133CE9">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联</w:t>
            </w:r>
            <w:r>
              <w:rPr>
                <w:rFonts w:hint="eastAsia" w:ascii="仿宋" w:hAnsi="仿宋" w:eastAsia="仿宋" w:cs="仿宋"/>
                <w:spacing w:val="7"/>
                <w:sz w:val="23"/>
                <w:szCs w:val="23"/>
                <w:highlight w:val="none"/>
              </w:rPr>
              <w:t>系方式</w:t>
            </w:r>
          </w:p>
        </w:tc>
        <w:tc>
          <w:tcPr>
            <w:tcW w:w="1025" w:type="dxa"/>
            <w:tcBorders>
              <w:tl2br w:val="nil"/>
              <w:tr2bl w:val="nil"/>
            </w:tcBorders>
            <w:vAlign w:val="center"/>
          </w:tcPr>
          <w:p w14:paraId="14262767">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联</w:t>
            </w:r>
            <w:r>
              <w:rPr>
                <w:rFonts w:hint="eastAsia" w:ascii="仿宋" w:hAnsi="仿宋" w:eastAsia="仿宋" w:cs="仿宋"/>
                <w:spacing w:val="6"/>
                <w:sz w:val="23"/>
                <w:szCs w:val="23"/>
                <w:highlight w:val="none"/>
              </w:rPr>
              <w:t>系人</w:t>
            </w:r>
          </w:p>
        </w:tc>
        <w:tc>
          <w:tcPr>
            <w:tcW w:w="2102" w:type="dxa"/>
            <w:tcBorders>
              <w:tl2br w:val="nil"/>
              <w:tr2bl w:val="nil"/>
            </w:tcBorders>
            <w:vAlign w:val="center"/>
          </w:tcPr>
          <w:p w14:paraId="5E4F7D09">
            <w:pPr>
              <w:jc w:val="center"/>
              <w:rPr>
                <w:rFonts w:hint="eastAsia" w:ascii="仿宋" w:hAnsi="仿宋" w:eastAsia="仿宋" w:cs="仿宋"/>
                <w:sz w:val="21"/>
                <w:highlight w:val="none"/>
              </w:rPr>
            </w:pPr>
          </w:p>
        </w:tc>
        <w:tc>
          <w:tcPr>
            <w:tcW w:w="1364" w:type="dxa"/>
            <w:tcBorders>
              <w:tl2br w:val="nil"/>
              <w:tr2bl w:val="nil"/>
            </w:tcBorders>
            <w:vAlign w:val="center"/>
          </w:tcPr>
          <w:p w14:paraId="52643F8D">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电</w:t>
            </w:r>
            <w:r>
              <w:rPr>
                <w:rFonts w:hint="eastAsia" w:ascii="仿宋" w:hAnsi="仿宋" w:eastAsia="仿宋" w:cs="仿宋"/>
                <w:spacing w:val="-8"/>
                <w:sz w:val="23"/>
                <w:szCs w:val="23"/>
                <w:highlight w:val="none"/>
              </w:rPr>
              <w:t>话</w:t>
            </w:r>
          </w:p>
        </w:tc>
        <w:tc>
          <w:tcPr>
            <w:tcW w:w="2289" w:type="dxa"/>
            <w:tcBorders>
              <w:tl2br w:val="nil"/>
              <w:tr2bl w:val="nil"/>
            </w:tcBorders>
            <w:vAlign w:val="center"/>
          </w:tcPr>
          <w:p w14:paraId="128B43C8">
            <w:pPr>
              <w:jc w:val="center"/>
              <w:rPr>
                <w:rFonts w:hint="eastAsia" w:ascii="仿宋" w:hAnsi="仿宋" w:eastAsia="仿宋" w:cs="仿宋"/>
                <w:sz w:val="21"/>
                <w:highlight w:val="none"/>
              </w:rPr>
            </w:pPr>
          </w:p>
        </w:tc>
      </w:tr>
      <w:tr w14:paraId="3A625C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vMerge w:val="continue"/>
            <w:tcBorders>
              <w:tl2br w:val="nil"/>
              <w:tr2bl w:val="nil"/>
            </w:tcBorders>
            <w:vAlign w:val="center"/>
          </w:tcPr>
          <w:p w14:paraId="4FDFC58B">
            <w:pPr>
              <w:jc w:val="center"/>
              <w:rPr>
                <w:rFonts w:hint="eastAsia" w:ascii="仿宋" w:hAnsi="仿宋" w:eastAsia="仿宋" w:cs="仿宋"/>
                <w:sz w:val="21"/>
                <w:highlight w:val="none"/>
              </w:rPr>
            </w:pPr>
          </w:p>
        </w:tc>
        <w:tc>
          <w:tcPr>
            <w:tcW w:w="1025" w:type="dxa"/>
            <w:tcBorders>
              <w:tl2br w:val="nil"/>
              <w:tr2bl w:val="nil"/>
            </w:tcBorders>
            <w:vAlign w:val="center"/>
          </w:tcPr>
          <w:p w14:paraId="4280B7D6">
            <w:pPr>
              <w:spacing w:before="0" w:line="240" w:lineRule="auto"/>
              <w:ind w:left="0"/>
              <w:jc w:val="center"/>
              <w:rPr>
                <w:rFonts w:hint="eastAsia" w:ascii="仿宋" w:hAnsi="仿宋" w:eastAsia="仿宋" w:cs="仿宋"/>
                <w:sz w:val="23"/>
                <w:szCs w:val="23"/>
                <w:highlight w:val="none"/>
                <w:lang w:val="en-US" w:eastAsia="zh-CN"/>
              </w:rPr>
            </w:pPr>
            <w:r>
              <w:rPr>
                <w:rFonts w:hint="eastAsia" w:ascii="仿宋" w:hAnsi="仿宋" w:eastAsia="仿宋" w:cs="仿宋"/>
                <w:sz w:val="23"/>
                <w:szCs w:val="23"/>
                <w:highlight w:val="none"/>
                <w:lang w:val="en-US" w:eastAsia="zh-CN"/>
              </w:rPr>
              <w:t>手机号</w:t>
            </w:r>
          </w:p>
        </w:tc>
        <w:tc>
          <w:tcPr>
            <w:tcW w:w="2102" w:type="dxa"/>
            <w:tcBorders>
              <w:tl2br w:val="nil"/>
              <w:tr2bl w:val="nil"/>
            </w:tcBorders>
            <w:vAlign w:val="center"/>
          </w:tcPr>
          <w:p w14:paraId="71319B05">
            <w:pPr>
              <w:jc w:val="center"/>
              <w:rPr>
                <w:rFonts w:hint="eastAsia" w:ascii="仿宋" w:hAnsi="仿宋" w:eastAsia="仿宋" w:cs="仿宋"/>
                <w:sz w:val="21"/>
                <w:highlight w:val="none"/>
              </w:rPr>
            </w:pPr>
          </w:p>
        </w:tc>
        <w:tc>
          <w:tcPr>
            <w:tcW w:w="1364" w:type="dxa"/>
            <w:tcBorders>
              <w:tl2br w:val="nil"/>
              <w:tr2bl w:val="nil"/>
            </w:tcBorders>
            <w:vAlign w:val="center"/>
          </w:tcPr>
          <w:p w14:paraId="58DCF111">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5"/>
                <w:sz w:val="23"/>
                <w:szCs w:val="23"/>
                <w:highlight w:val="none"/>
                <w:lang w:val="en-US" w:eastAsia="zh-CN"/>
              </w:rPr>
              <w:t>电子</w:t>
            </w:r>
            <w:r>
              <w:rPr>
                <w:rFonts w:hint="eastAsia" w:ascii="仿宋" w:hAnsi="仿宋" w:eastAsia="仿宋" w:cs="仿宋"/>
                <w:spacing w:val="-5"/>
                <w:sz w:val="23"/>
                <w:szCs w:val="23"/>
                <w:highlight w:val="none"/>
              </w:rPr>
              <w:t>邮</w:t>
            </w:r>
            <w:r>
              <w:rPr>
                <w:rFonts w:hint="eastAsia" w:ascii="仿宋" w:hAnsi="仿宋" w:eastAsia="仿宋" w:cs="仿宋"/>
                <w:spacing w:val="-3"/>
                <w:sz w:val="23"/>
                <w:szCs w:val="23"/>
                <w:highlight w:val="none"/>
              </w:rPr>
              <w:t>箱</w:t>
            </w:r>
          </w:p>
        </w:tc>
        <w:tc>
          <w:tcPr>
            <w:tcW w:w="2289" w:type="dxa"/>
            <w:tcBorders>
              <w:tl2br w:val="nil"/>
              <w:tr2bl w:val="nil"/>
            </w:tcBorders>
            <w:vAlign w:val="center"/>
          </w:tcPr>
          <w:p w14:paraId="0E589872">
            <w:pPr>
              <w:jc w:val="center"/>
              <w:rPr>
                <w:rFonts w:hint="eastAsia" w:ascii="仿宋" w:hAnsi="仿宋" w:eastAsia="仿宋" w:cs="仿宋"/>
                <w:sz w:val="21"/>
                <w:highlight w:val="none"/>
              </w:rPr>
            </w:pPr>
          </w:p>
        </w:tc>
      </w:tr>
      <w:tr w14:paraId="3E398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94" w:hRule="atLeast"/>
          <w:jc w:val="center"/>
        </w:trPr>
        <w:tc>
          <w:tcPr>
            <w:tcW w:w="1519" w:type="dxa"/>
            <w:tcBorders>
              <w:tl2br w:val="nil"/>
              <w:tr2bl w:val="nil"/>
            </w:tcBorders>
            <w:vAlign w:val="center"/>
          </w:tcPr>
          <w:p w14:paraId="65FD04E5">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8"/>
                <w:position w:val="17"/>
                <w:sz w:val="23"/>
                <w:szCs w:val="23"/>
                <w:highlight w:val="none"/>
              </w:rPr>
              <w:t>法定代表</w:t>
            </w:r>
            <w:r>
              <w:rPr>
                <w:rFonts w:hint="eastAsia" w:ascii="仿宋" w:hAnsi="仿宋" w:eastAsia="仿宋" w:cs="仿宋"/>
                <w:spacing w:val="7"/>
                <w:position w:val="17"/>
                <w:sz w:val="23"/>
                <w:szCs w:val="23"/>
                <w:highlight w:val="none"/>
              </w:rPr>
              <w:t>人</w:t>
            </w:r>
          </w:p>
          <w:p w14:paraId="5290D3CE">
            <w:pPr>
              <w:spacing w:line="240" w:lineRule="auto"/>
              <w:ind w:left="0"/>
              <w:jc w:val="center"/>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w:t>
            </w:r>
            <w:r>
              <w:rPr>
                <w:rFonts w:hint="eastAsia" w:ascii="仿宋" w:hAnsi="仿宋" w:eastAsia="仿宋" w:cs="仿宋"/>
                <w:spacing w:val="1"/>
                <w:sz w:val="23"/>
                <w:szCs w:val="23"/>
                <w:highlight w:val="none"/>
              </w:rPr>
              <w:t>主要负责人)</w:t>
            </w:r>
          </w:p>
        </w:tc>
        <w:tc>
          <w:tcPr>
            <w:tcW w:w="1025" w:type="dxa"/>
            <w:tcBorders>
              <w:tl2br w:val="nil"/>
              <w:tr2bl w:val="nil"/>
            </w:tcBorders>
            <w:vAlign w:val="center"/>
          </w:tcPr>
          <w:p w14:paraId="37E8F4C2">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5"/>
                <w:sz w:val="23"/>
                <w:szCs w:val="23"/>
                <w:highlight w:val="none"/>
              </w:rPr>
              <w:t>姓名</w:t>
            </w:r>
          </w:p>
        </w:tc>
        <w:tc>
          <w:tcPr>
            <w:tcW w:w="2102" w:type="dxa"/>
            <w:tcBorders>
              <w:tl2br w:val="nil"/>
              <w:tr2bl w:val="nil"/>
            </w:tcBorders>
            <w:vAlign w:val="center"/>
          </w:tcPr>
          <w:p w14:paraId="0AA938EF">
            <w:pPr>
              <w:jc w:val="center"/>
              <w:rPr>
                <w:rFonts w:hint="eastAsia" w:ascii="仿宋" w:hAnsi="仿宋" w:eastAsia="仿宋" w:cs="仿宋"/>
                <w:sz w:val="21"/>
                <w:highlight w:val="none"/>
              </w:rPr>
            </w:pPr>
          </w:p>
        </w:tc>
        <w:tc>
          <w:tcPr>
            <w:tcW w:w="1364" w:type="dxa"/>
            <w:tcBorders>
              <w:tl2br w:val="nil"/>
              <w:tr2bl w:val="nil"/>
            </w:tcBorders>
            <w:vAlign w:val="center"/>
          </w:tcPr>
          <w:p w14:paraId="5662CA5F">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z w:val="23"/>
                <w:szCs w:val="23"/>
                <w:highlight w:val="none"/>
                <w:lang w:val="en-US" w:eastAsia="zh-CN"/>
              </w:rPr>
              <w:t>手机号</w:t>
            </w:r>
          </w:p>
        </w:tc>
        <w:tc>
          <w:tcPr>
            <w:tcW w:w="2289" w:type="dxa"/>
            <w:tcBorders>
              <w:tl2br w:val="nil"/>
              <w:tr2bl w:val="nil"/>
            </w:tcBorders>
            <w:vAlign w:val="center"/>
          </w:tcPr>
          <w:p w14:paraId="7FBD8BB2">
            <w:pPr>
              <w:jc w:val="center"/>
              <w:rPr>
                <w:rFonts w:hint="eastAsia" w:ascii="仿宋" w:hAnsi="仿宋" w:eastAsia="仿宋" w:cs="仿宋"/>
                <w:sz w:val="21"/>
                <w:highlight w:val="none"/>
              </w:rPr>
            </w:pPr>
          </w:p>
        </w:tc>
      </w:tr>
      <w:tr w14:paraId="7A5B1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1" w:hRule="atLeast"/>
          <w:jc w:val="center"/>
        </w:trPr>
        <w:tc>
          <w:tcPr>
            <w:tcW w:w="2544" w:type="dxa"/>
            <w:gridSpan w:val="2"/>
            <w:tcBorders>
              <w:tl2br w:val="nil"/>
              <w:tr2bl w:val="nil"/>
            </w:tcBorders>
            <w:vAlign w:val="center"/>
          </w:tcPr>
          <w:p w14:paraId="044F2CFD">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经营范围</w:t>
            </w:r>
          </w:p>
        </w:tc>
        <w:tc>
          <w:tcPr>
            <w:tcW w:w="5755" w:type="dxa"/>
            <w:gridSpan w:val="3"/>
            <w:tcBorders>
              <w:tl2br w:val="nil"/>
              <w:tr2bl w:val="nil"/>
            </w:tcBorders>
            <w:vAlign w:val="center"/>
          </w:tcPr>
          <w:p w14:paraId="404C6F98">
            <w:pPr>
              <w:jc w:val="center"/>
              <w:rPr>
                <w:rFonts w:hint="eastAsia" w:ascii="仿宋" w:hAnsi="仿宋" w:eastAsia="仿宋" w:cs="仿宋"/>
                <w:sz w:val="21"/>
                <w:highlight w:val="none"/>
              </w:rPr>
            </w:pPr>
          </w:p>
        </w:tc>
      </w:tr>
      <w:tr w14:paraId="13B55F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50" w:hRule="atLeast"/>
          <w:jc w:val="center"/>
        </w:trPr>
        <w:tc>
          <w:tcPr>
            <w:tcW w:w="2544" w:type="dxa"/>
            <w:gridSpan w:val="2"/>
            <w:tcBorders>
              <w:tl2br w:val="nil"/>
              <w:tr2bl w:val="nil"/>
            </w:tcBorders>
            <w:vAlign w:val="center"/>
          </w:tcPr>
          <w:p w14:paraId="1223B9C5">
            <w:pPr>
              <w:spacing w:before="0" w:line="240" w:lineRule="auto"/>
              <w:ind w:left="0"/>
              <w:jc w:val="center"/>
              <w:rPr>
                <w:rFonts w:hint="eastAsia" w:ascii="仿宋" w:hAnsi="仿宋" w:eastAsia="仿宋" w:cs="仿宋"/>
                <w:sz w:val="23"/>
                <w:szCs w:val="23"/>
                <w:highlight w:val="none"/>
                <w:lang w:eastAsia="zh-CN"/>
              </w:rPr>
            </w:pPr>
            <w:r>
              <w:rPr>
                <w:rFonts w:hint="eastAsia" w:ascii="仿宋" w:hAnsi="仿宋" w:eastAsia="仿宋" w:cs="仿宋"/>
                <w:spacing w:val="4"/>
                <w:sz w:val="23"/>
                <w:szCs w:val="23"/>
                <w:highlight w:val="none"/>
              </w:rPr>
              <w:t>备</w:t>
            </w:r>
            <w:r>
              <w:rPr>
                <w:rFonts w:hint="eastAsia" w:ascii="仿宋" w:hAnsi="仿宋" w:eastAsia="仿宋" w:cs="仿宋"/>
                <w:spacing w:val="3"/>
                <w:sz w:val="23"/>
                <w:szCs w:val="23"/>
                <w:highlight w:val="none"/>
              </w:rPr>
              <w:t>注</w:t>
            </w:r>
          </w:p>
        </w:tc>
        <w:tc>
          <w:tcPr>
            <w:tcW w:w="5755" w:type="dxa"/>
            <w:gridSpan w:val="3"/>
            <w:tcBorders>
              <w:tl2br w:val="nil"/>
              <w:tr2bl w:val="nil"/>
            </w:tcBorders>
            <w:vAlign w:val="center"/>
          </w:tcPr>
          <w:p w14:paraId="4EB05162">
            <w:pPr>
              <w:jc w:val="center"/>
              <w:rPr>
                <w:rFonts w:hint="eastAsia" w:ascii="仿宋" w:hAnsi="仿宋" w:eastAsia="仿宋" w:cs="仿宋"/>
                <w:sz w:val="21"/>
                <w:highlight w:val="none"/>
              </w:rPr>
            </w:pPr>
          </w:p>
        </w:tc>
      </w:tr>
    </w:tbl>
    <w:p w14:paraId="4B815E07">
      <w:pPr>
        <w:keepNext w:val="0"/>
        <w:keepLines w:val="0"/>
        <w:pageBreakBefore w:val="0"/>
        <w:kinsoku/>
        <w:wordWrap/>
        <w:overflowPunct/>
        <w:topLinePunct w:val="0"/>
        <w:autoSpaceDE/>
        <w:autoSpaceDN/>
        <w:bidi w:val="0"/>
        <w:adjustRightInd w:val="0"/>
        <w:snapToGrid/>
        <w:spacing w:line="400" w:lineRule="exact"/>
        <w:ind w:firstLine="480" w:firstLineChars="200"/>
        <w:jc w:val="left"/>
        <w:textAlignment w:val="auto"/>
        <w:outlineLvl w:val="9"/>
        <w:rPr>
          <w:rFonts w:hint="default" w:ascii="仿宋" w:hAnsi="仿宋" w:eastAsia="仿宋"/>
          <w:sz w:val="24"/>
          <w:highlight w:val="none"/>
          <w:lang w:val="en-US" w:eastAsia="zh-CN"/>
        </w:rPr>
      </w:pPr>
      <w:r>
        <w:rPr>
          <w:rFonts w:hint="eastAsia" w:ascii="仿宋" w:hAnsi="仿宋" w:eastAsia="仿宋" w:cs="宋体"/>
          <w:sz w:val="24"/>
          <w:highlight w:val="none"/>
        </w:rPr>
        <w:t>注：</w:t>
      </w:r>
      <w:r>
        <w:rPr>
          <w:rFonts w:hint="eastAsia" w:ascii="仿宋" w:hAnsi="仿宋" w:eastAsia="仿宋" w:cs="宋体"/>
          <w:sz w:val="24"/>
          <w:highlight w:val="none"/>
          <w:lang w:val="en-US" w:eastAsia="zh-CN"/>
        </w:rPr>
        <w:t>若本表中存在不涉及的内容，可填写“/”。</w:t>
      </w:r>
    </w:p>
    <w:p w14:paraId="6139B63B">
      <w:pPr>
        <w:keepNext w:val="0"/>
        <w:keepLines w:val="0"/>
        <w:pageBreakBefore w:val="0"/>
        <w:kinsoku/>
        <w:wordWrap/>
        <w:overflowPunct/>
        <w:topLinePunct w:val="0"/>
        <w:autoSpaceDE/>
        <w:autoSpaceDN/>
        <w:bidi w:val="0"/>
        <w:adjustRightInd w:val="0"/>
        <w:snapToGrid/>
        <w:spacing w:line="400" w:lineRule="exact"/>
        <w:jc w:val="left"/>
        <w:textAlignment w:val="auto"/>
        <w:outlineLvl w:val="9"/>
        <w:rPr>
          <w:rFonts w:ascii="仿宋" w:hAnsi="仿宋" w:eastAsia="仿宋"/>
          <w:sz w:val="24"/>
          <w:highlight w:val="none"/>
        </w:rPr>
      </w:pPr>
    </w:p>
    <w:p w14:paraId="65F0D761">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供应商名称：XXXX（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7E109B8F">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14:paraId="1208A3A0">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日    期：XXXX</w:t>
      </w:r>
    </w:p>
    <w:p w14:paraId="35277AC3">
      <w:pPr>
        <w:pageBreakBefore w:val="0"/>
        <w:kinsoku/>
        <w:wordWrap/>
        <w:overflowPunct/>
        <w:topLinePunct w:val="0"/>
        <w:autoSpaceDE/>
        <w:autoSpaceDN/>
        <w:bidi w:val="0"/>
        <w:snapToGrid/>
        <w:textAlignment w:val="auto"/>
        <w:outlineLvl w:val="9"/>
        <w:rPr>
          <w:rFonts w:hint="eastAsia"/>
          <w:highlight w:val="none"/>
        </w:rPr>
      </w:pPr>
      <w:r>
        <w:rPr>
          <w:rFonts w:hint="eastAsia"/>
          <w:highlight w:val="none"/>
        </w:rPr>
        <w:br w:type="page"/>
      </w:r>
    </w:p>
    <w:p w14:paraId="4799718B">
      <w:pPr>
        <w:keepNext w:val="0"/>
        <w:keepLines w:val="0"/>
        <w:pageBreakBefore w:val="0"/>
        <w:kinsoku/>
        <w:wordWrap/>
        <w:overflowPunct/>
        <w:topLinePunct w:val="0"/>
        <w:autoSpaceDE/>
        <w:autoSpaceDN/>
        <w:bidi w:val="0"/>
        <w:snapToGrid/>
        <w:spacing w:line="360" w:lineRule="auto"/>
        <w:textAlignment w:val="auto"/>
        <w:outlineLvl w:val="9"/>
        <w:rPr>
          <w:rFonts w:hint="eastAsia" w:ascii="仿宋" w:hAnsi="仿宋" w:eastAsia="仿宋"/>
          <w:b/>
          <w:sz w:val="32"/>
          <w:szCs w:val="32"/>
          <w:highlight w:val="none"/>
          <w:lang w:val="en-US" w:eastAsia="zh-CN"/>
        </w:rPr>
      </w:pPr>
      <w:r>
        <w:rPr>
          <w:rFonts w:hint="eastAsia" w:ascii="仿宋" w:hAnsi="仿宋" w:eastAsia="仿宋"/>
          <w:b/>
          <w:sz w:val="32"/>
          <w:szCs w:val="32"/>
          <w:highlight w:val="none"/>
        </w:rPr>
        <w:t>格式2-</w:t>
      </w:r>
      <w:r>
        <w:rPr>
          <w:rFonts w:hint="eastAsia" w:ascii="仿宋" w:hAnsi="仿宋" w:eastAsia="仿宋"/>
          <w:b/>
          <w:sz w:val="32"/>
          <w:szCs w:val="32"/>
          <w:highlight w:val="none"/>
          <w:lang w:val="en-US" w:eastAsia="zh-CN"/>
        </w:rPr>
        <w:t>3</w:t>
      </w:r>
    </w:p>
    <w:p w14:paraId="7A190BE6">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b/>
          <w:sz w:val="32"/>
          <w:szCs w:val="32"/>
          <w:highlight w:val="none"/>
        </w:rPr>
      </w:pPr>
      <w:r>
        <w:rPr>
          <w:rFonts w:hint="eastAsia" w:ascii="仿宋" w:hAnsi="仿宋" w:eastAsia="仿宋"/>
          <w:b/>
          <w:sz w:val="32"/>
          <w:szCs w:val="32"/>
          <w:highlight w:val="none"/>
        </w:rPr>
        <w:t xml:space="preserve">报价一览表 </w:t>
      </w:r>
    </w:p>
    <w:p w14:paraId="05946DA3">
      <w:pPr>
        <w:keepNext w:val="0"/>
        <w:keepLines w:val="0"/>
        <w:pageBreakBefore w:val="0"/>
        <w:kinsoku/>
        <w:wordWrap/>
        <w:overflowPunct/>
        <w:topLinePunct w:val="0"/>
        <w:autoSpaceDE/>
        <w:autoSpaceDN/>
        <w:bidi w:val="0"/>
        <w:snapToGrid/>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b w:val="0"/>
          <w:bCs w:val="0"/>
          <w:sz w:val="24"/>
          <w:szCs w:val="24"/>
          <w:highlight w:val="none"/>
          <w:lang w:val="en-US" w:eastAsia="zh-CN"/>
        </w:rPr>
        <w:t>成都市技师学院（成都工贸职业技术学院）2025年电气教学实训耗材采购项目</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z w:val="24"/>
          <w:szCs w:val="24"/>
          <w:highlight w:val="none"/>
          <w:lang w:val="en-US" w:eastAsia="zh-CN"/>
        </w:rPr>
        <w:t xml:space="preserve">                                            </w:t>
      </w:r>
    </w:p>
    <w:p w14:paraId="00CAD62A">
      <w:pPr>
        <w:keepNext w:val="0"/>
        <w:keepLines w:val="0"/>
        <w:pageBreakBefore w:val="0"/>
        <w:kinsoku/>
        <w:wordWrap/>
        <w:overflowPunct/>
        <w:topLinePunct w:val="0"/>
        <w:autoSpaceDE/>
        <w:autoSpaceDN/>
        <w:bidi w:val="0"/>
        <w:snapToGrid/>
        <w:textAlignment w:val="auto"/>
        <w:outlineLvl w:val="9"/>
        <w:rPr>
          <w:rFonts w:hint="eastAsia" w:ascii="仿宋" w:hAnsi="仿宋" w:eastAsia="仿宋"/>
          <w:b/>
          <w:sz w:val="32"/>
          <w:szCs w:val="32"/>
          <w:highlight w:val="none"/>
        </w:rPr>
      </w:pPr>
      <w:r>
        <w:rPr>
          <w:rFonts w:hint="eastAsia" w:ascii="仿宋" w:hAnsi="仿宋" w:eastAsia="仿宋" w:cs="仿宋"/>
          <w:b w:val="0"/>
          <w:bCs w:val="0"/>
          <w:sz w:val="24"/>
          <w:szCs w:val="24"/>
          <w:highlight w:val="none"/>
        </w:rPr>
        <w:t>项目编号：</w:t>
      </w:r>
      <w:r>
        <w:rPr>
          <w:rFonts w:hint="eastAsia" w:ascii="仿宋" w:hAnsi="仿宋" w:eastAsia="仿宋" w:cs="仿宋"/>
          <w:b w:val="0"/>
          <w:bCs w:val="0"/>
          <w:sz w:val="24"/>
          <w:szCs w:val="24"/>
          <w:highlight w:val="none"/>
          <w:lang w:val="en-US" w:eastAsia="zh-CN"/>
        </w:rPr>
        <w:t>HT-【采】20250319</w:t>
      </w:r>
    </w:p>
    <w:tbl>
      <w:tblPr>
        <w:tblStyle w:val="25"/>
        <w:tblpPr w:leftFromText="180" w:rightFromText="180" w:vertAnchor="text" w:horzAnchor="margin" w:tblpY="285"/>
        <w:tblW w:w="509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2"/>
        <w:gridCol w:w="1915"/>
        <w:gridCol w:w="1499"/>
        <w:gridCol w:w="1427"/>
        <w:gridCol w:w="1704"/>
        <w:gridCol w:w="932"/>
        <w:gridCol w:w="1214"/>
      </w:tblGrid>
      <w:tr w14:paraId="17A52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6" w:hRule="atLeast"/>
        </w:trPr>
        <w:tc>
          <w:tcPr>
            <w:tcW w:w="348" w:type="pct"/>
            <w:vAlign w:val="center"/>
          </w:tcPr>
          <w:p w14:paraId="2F6C0CB8">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
                <w:sz w:val="24"/>
                <w:szCs w:val="28"/>
                <w:highlight w:val="none"/>
              </w:rPr>
            </w:pPr>
            <w:r>
              <w:rPr>
                <w:rFonts w:eastAsia="仿宋"/>
                <w:b/>
                <w:sz w:val="24"/>
                <w:szCs w:val="28"/>
                <w:highlight w:val="none"/>
              </w:rPr>
              <w:t>序号</w:t>
            </w:r>
          </w:p>
        </w:tc>
        <w:tc>
          <w:tcPr>
            <w:tcW w:w="1024" w:type="pct"/>
            <w:vAlign w:val="center"/>
          </w:tcPr>
          <w:p w14:paraId="4E9C21CD">
            <w:pPr>
              <w:keepNext w:val="0"/>
              <w:keepLines w:val="0"/>
              <w:pageBreakBefore w:val="0"/>
              <w:kinsoku/>
              <w:wordWrap/>
              <w:overflowPunct/>
              <w:topLinePunct w:val="0"/>
              <w:autoSpaceDE/>
              <w:autoSpaceDN/>
              <w:bidi w:val="0"/>
              <w:snapToGrid/>
              <w:spacing w:line="360" w:lineRule="auto"/>
              <w:jc w:val="center"/>
              <w:textAlignment w:val="auto"/>
              <w:outlineLvl w:val="9"/>
              <w:rPr>
                <w:rFonts w:hint="default" w:eastAsia="仿宋"/>
                <w:b/>
                <w:sz w:val="24"/>
                <w:szCs w:val="28"/>
                <w:highlight w:val="none"/>
                <w:lang w:val="en-US" w:eastAsia="zh-CN"/>
              </w:rPr>
            </w:pPr>
            <w:r>
              <w:rPr>
                <w:rFonts w:hint="eastAsia" w:eastAsia="仿宋"/>
                <w:b/>
                <w:sz w:val="24"/>
                <w:szCs w:val="28"/>
                <w:highlight w:val="none"/>
                <w:lang w:val="en-US" w:eastAsia="zh-CN"/>
              </w:rPr>
              <w:t>标的名称</w:t>
            </w:r>
          </w:p>
        </w:tc>
        <w:tc>
          <w:tcPr>
            <w:tcW w:w="802" w:type="pct"/>
            <w:vAlign w:val="center"/>
          </w:tcPr>
          <w:p w14:paraId="51041A20">
            <w:pPr>
              <w:keepNext w:val="0"/>
              <w:keepLines w:val="0"/>
              <w:pageBreakBefore w:val="0"/>
              <w:kinsoku/>
              <w:wordWrap/>
              <w:overflowPunct/>
              <w:topLinePunct w:val="0"/>
              <w:autoSpaceDE/>
              <w:autoSpaceDN/>
              <w:bidi w:val="0"/>
              <w:snapToGrid/>
              <w:spacing w:line="360" w:lineRule="auto"/>
              <w:jc w:val="center"/>
              <w:textAlignment w:val="auto"/>
              <w:outlineLvl w:val="9"/>
              <w:rPr>
                <w:rFonts w:hint="eastAsia" w:eastAsia="仿宋"/>
                <w:b/>
                <w:sz w:val="24"/>
                <w:szCs w:val="28"/>
                <w:highlight w:val="none"/>
                <w:lang w:eastAsia="zh-CN"/>
              </w:rPr>
            </w:pPr>
            <w:r>
              <w:rPr>
                <w:rFonts w:hint="eastAsia" w:eastAsia="仿宋"/>
                <w:b/>
                <w:sz w:val="24"/>
                <w:szCs w:val="28"/>
                <w:highlight w:val="none"/>
              </w:rPr>
              <w:t>制造商家、品牌及规格型号</w:t>
            </w:r>
          </w:p>
        </w:tc>
        <w:tc>
          <w:tcPr>
            <w:tcW w:w="763" w:type="pct"/>
            <w:vAlign w:val="center"/>
          </w:tcPr>
          <w:p w14:paraId="6E70D4C0">
            <w:pPr>
              <w:keepNext w:val="0"/>
              <w:keepLines w:val="0"/>
              <w:pageBreakBefore w:val="0"/>
              <w:kinsoku/>
              <w:wordWrap/>
              <w:overflowPunct/>
              <w:topLinePunct w:val="0"/>
              <w:autoSpaceDE/>
              <w:autoSpaceDN/>
              <w:bidi w:val="0"/>
              <w:snapToGrid/>
              <w:spacing w:line="360" w:lineRule="auto"/>
              <w:jc w:val="center"/>
              <w:textAlignment w:val="auto"/>
              <w:outlineLvl w:val="9"/>
              <w:rPr>
                <w:rFonts w:hint="eastAsia" w:eastAsia="仿宋"/>
                <w:b/>
                <w:sz w:val="24"/>
                <w:szCs w:val="28"/>
                <w:highlight w:val="none"/>
              </w:rPr>
            </w:pPr>
            <w:r>
              <w:rPr>
                <w:rFonts w:hint="eastAsia" w:eastAsia="仿宋"/>
                <w:b/>
                <w:sz w:val="24"/>
                <w:szCs w:val="28"/>
                <w:highlight w:val="none"/>
              </w:rPr>
              <w:t>数量</w:t>
            </w:r>
          </w:p>
          <w:p w14:paraId="1672E0D5">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
                <w:sz w:val="24"/>
                <w:szCs w:val="28"/>
                <w:highlight w:val="none"/>
              </w:rPr>
            </w:pPr>
            <w:r>
              <w:rPr>
                <w:rFonts w:hint="eastAsia" w:eastAsia="仿宋"/>
                <w:b/>
                <w:sz w:val="24"/>
                <w:szCs w:val="28"/>
                <w:highlight w:val="none"/>
              </w:rPr>
              <w:t>（单位）</w:t>
            </w:r>
          </w:p>
        </w:tc>
        <w:tc>
          <w:tcPr>
            <w:tcW w:w="911" w:type="pct"/>
            <w:vAlign w:val="center"/>
          </w:tcPr>
          <w:p w14:paraId="34F56642">
            <w:pPr>
              <w:keepNext w:val="0"/>
              <w:keepLines w:val="0"/>
              <w:pageBreakBefore w:val="0"/>
              <w:kinsoku/>
              <w:wordWrap/>
              <w:overflowPunct/>
              <w:topLinePunct w:val="0"/>
              <w:autoSpaceDE/>
              <w:autoSpaceDN/>
              <w:bidi w:val="0"/>
              <w:snapToGrid/>
              <w:spacing w:line="360" w:lineRule="auto"/>
              <w:jc w:val="center"/>
              <w:textAlignment w:val="auto"/>
              <w:outlineLvl w:val="9"/>
              <w:rPr>
                <w:rFonts w:hint="eastAsia" w:eastAsia="仿宋"/>
                <w:b/>
                <w:sz w:val="24"/>
                <w:szCs w:val="28"/>
                <w:highlight w:val="none"/>
                <w:lang w:val="en-US" w:eastAsia="zh-CN"/>
              </w:rPr>
            </w:pPr>
            <w:r>
              <w:rPr>
                <w:rFonts w:hint="eastAsia" w:eastAsia="仿宋"/>
                <w:b/>
                <w:sz w:val="24"/>
                <w:szCs w:val="28"/>
                <w:highlight w:val="none"/>
                <w:lang w:val="en-US" w:eastAsia="zh-CN"/>
              </w:rPr>
              <w:t>单价</w:t>
            </w:r>
          </w:p>
          <w:p w14:paraId="03727207">
            <w:pPr>
              <w:keepNext w:val="0"/>
              <w:keepLines w:val="0"/>
              <w:pageBreakBefore w:val="0"/>
              <w:kinsoku/>
              <w:wordWrap/>
              <w:overflowPunct/>
              <w:topLinePunct w:val="0"/>
              <w:autoSpaceDE/>
              <w:autoSpaceDN/>
              <w:bidi w:val="0"/>
              <w:snapToGrid/>
              <w:spacing w:line="360" w:lineRule="auto"/>
              <w:jc w:val="center"/>
              <w:textAlignment w:val="auto"/>
              <w:outlineLvl w:val="9"/>
              <w:rPr>
                <w:rFonts w:hint="eastAsia" w:eastAsia="仿宋"/>
                <w:b/>
                <w:sz w:val="24"/>
                <w:szCs w:val="28"/>
                <w:highlight w:val="none"/>
                <w:lang w:val="en-US" w:eastAsia="zh-CN"/>
              </w:rPr>
            </w:pPr>
            <w:r>
              <w:rPr>
                <w:rFonts w:hint="eastAsia" w:eastAsia="仿宋"/>
                <w:b/>
                <w:sz w:val="24"/>
                <w:szCs w:val="28"/>
                <w:highlight w:val="none"/>
                <w:lang w:val="en-US" w:eastAsia="zh-CN"/>
              </w:rPr>
              <w:t>（元）</w:t>
            </w:r>
          </w:p>
        </w:tc>
        <w:tc>
          <w:tcPr>
            <w:tcW w:w="498" w:type="pct"/>
            <w:vAlign w:val="center"/>
          </w:tcPr>
          <w:p w14:paraId="59D160EA">
            <w:pPr>
              <w:keepNext w:val="0"/>
              <w:keepLines w:val="0"/>
              <w:pageBreakBefore w:val="0"/>
              <w:kinsoku/>
              <w:wordWrap/>
              <w:overflowPunct/>
              <w:topLinePunct w:val="0"/>
              <w:autoSpaceDE/>
              <w:autoSpaceDN/>
              <w:bidi w:val="0"/>
              <w:snapToGrid/>
              <w:spacing w:line="360" w:lineRule="auto"/>
              <w:jc w:val="center"/>
              <w:textAlignment w:val="auto"/>
              <w:outlineLvl w:val="9"/>
              <w:rPr>
                <w:rFonts w:hint="default" w:eastAsia="仿宋"/>
                <w:b/>
                <w:sz w:val="24"/>
                <w:szCs w:val="28"/>
                <w:highlight w:val="none"/>
                <w:lang w:val="en-US" w:eastAsia="zh-CN"/>
              </w:rPr>
            </w:pPr>
            <w:r>
              <w:rPr>
                <w:rFonts w:hint="eastAsia" w:eastAsia="仿宋"/>
                <w:b/>
                <w:sz w:val="24"/>
                <w:szCs w:val="28"/>
                <w:highlight w:val="none"/>
                <w:lang w:val="en-US" w:eastAsia="zh-CN"/>
              </w:rPr>
              <w:t>所属行业</w:t>
            </w:r>
          </w:p>
        </w:tc>
        <w:tc>
          <w:tcPr>
            <w:tcW w:w="649" w:type="pct"/>
            <w:vAlign w:val="center"/>
          </w:tcPr>
          <w:p w14:paraId="16EE9F4A">
            <w:pPr>
              <w:keepNext w:val="0"/>
              <w:keepLines w:val="0"/>
              <w:pageBreakBefore w:val="0"/>
              <w:kinsoku/>
              <w:wordWrap/>
              <w:overflowPunct/>
              <w:topLinePunct w:val="0"/>
              <w:autoSpaceDE/>
              <w:autoSpaceDN/>
              <w:bidi w:val="0"/>
              <w:snapToGrid/>
              <w:spacing w:line="360" w:lineRule="auto"/>
              <w:jc w:val="center"/>
              <w:textAlignment w:val="auto"/>
              <w:outlineLvl w:val="9"/>
              <w:rPr>
                <w:rFonts w:hint="eastAsia" w:eastAsia="仿宋"/>
                <w:b/>
                <w:sz w:val="24"/>
                <w:szCs w:val="28"/>
                <w:highlight w:val="none"/>
                <w:lang w:val="en-US" w:eastAsia="zh-CN"/>
              </w:rPr>
            </w:pPr>
            <w:r>
              <w:rPr>
                <w:rFonts w:hint="eastAsia" w:eastAsia="仿宋"/>
                <w:b/>
                <w:sz w:val="24"/>
                <w:szCs w:val="28"/>
                <w:highlight w:val="none"/>
                <w:lang w:val="en-US" w:eastAsia="zh-CN"/>
              </w:rPr>
              <w:t>备注</w:t>
            </w:r>
          </w:p>
        </w:tc>
      </w:tr>
      <w:tr w14:paraId="49C6A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348" w:type="pct"/>
          </w:tcPr>
          <w:p w14:paraId="45AD1C0E">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r>
              <w:rPr>
                <w:rFonts w:eastAsia="仿宋"/>
                <w:bCs/>
                <w:sz w:val="24"/>
                <w:szCs w:val="28"/>
                <w:highlight w:val="none"/>
              </w:rPr>
              <w:t>1</w:t>
            </w:r>
          </w:p>
        </w:tc>
        <w:tc>
          <w:tcPr>
            <w:tcW w:w="1024" w:type="pct"/>
          </w:tcPr>
          <w:p w14:paraId="77FA4A11">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802" w:type="pct"/>
            <w:vAlign w:val="center"/>
          </w:tcPr>
          <w:p w14:paraId="46644082">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763" w:type="pct"/>
            <w:vAlign w:val="center"/>
          </w:tcPr>
          <w:p w14:paraId="499B351F">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911" w:type="pct"/>
            <w:vAlign w:val="center"/>
          </w:tcPr>
          <w:p w14:paraId="4FF38222">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498" w:type="pct"/>
            <w:vAlign w:val="center"/>
          </w:tcPr>
          <w:p w14:paraId="5CA88441">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649" w:type="pct"/>
          </w:tcPr>
          <w:p w14:paraId="5D7F4EC0">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r>
      <w:tr w14:paraId="6E52A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348" w:type="pct"/>
          </w:tcPr>
          <w:p w14:paraId="0FADFFB9">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r>
              <w:rPr>
                <w:rFonts w:eastAsia="仿宋"/>
                <w:bCs/>
                <w:sz w:val="24"/>
                <w:szCs w:val="28"/>
                <w:highlight w:val="none"/>
              </w:rPr>
              <w:t>2</w:t>
            </w:r>
          </w:p>
        </w:tc>
        <w:tc>
          <w:tcPr>
            <w:tcW w:w="1024" w:type="pct"/>
          </w:tcPr>
          <w:p w14:paraId="053354AF">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802" w:type="pct"/>
            <w:vAlign w:val="center"/>
          </w:tcPr>
          <w:p w14:paraId="349E6EA8">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763" w:type="pct"/>
            <w:vAlign w:val="center"/>
          </w:tcPr>
          <w:p w14:paraId="664993B1">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911" w:type="pct"/>
            <w:vAlign w:val="center"/>
          </w:tcPr>
          <w:p w14:paraId="5717E83E">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498" w:type="pct"/>
            <w:vAlign w:val="center"/>
          </w:tcPr>
          <w:p w14:paraId="561B3361">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649" w:type="pct"/>
          </w:tcPr>
          <w:p w14:paraId="4C53EC4A">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r>
      <w:tr w14:paraId="664E4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348" w:type="pct"/>
          </w:tcPr>
          <w:p w14:paraId="0196CD9D">
            <w:pPr>
              <w:keepNext w:val="0"/>
              <w:keepLines w:val="0"/>
              <w:pageBreakBefore w:val="0"/>
              <w:kinsoku/>
              <w:wordWrap/>
              <w:overflowPunct/>
              <w:topLinePunct w:val="0"/>
              <w:autoSpaceDE/>
              <w:autoSpaceDN/>
              <w:bidi w:val="0"/>
              <w:snapToGrid/>
              <w:spacing w:line="360" w:lineRule="auto"/>
              <w:jc w:val="center"/>
              <w:textAlignment w:val="auto"/>
              <w:outlineLvl w:val="9"/>
              <w:rPr>
                <w:rFonts w:hint="default" w:eastAsia="仿宋"/>
                <w:bCs/>
                <w:sz w:val="24"/>
                <w:szCs w:val="28"/>
                <w:highlight w:val="none"/>
                <w:lang w:val="en-US" w:eastAsia="zh-CN"/>
              </w:rPr>
            </w:pPr>
            <w:r>
              <w:rPr>
                <w:rFonts w:hint="eastAsia" w:eastAsia="仿宋"/>
                <w:bCs/>
                <w:sz w:val="24"/>
                <w:szCs w:val="28"/>
                <w:highlight w:val="none"/>
                <w:lang w:val="en-US" w:eastAsia="zh-CN"/>
              </w:rPr>
              <w:t>...</w:t>
            </w:r>
          </w:p>
        </w:tc>
        <w:tc>
          <w:tcPr>
            <w:tcW w:w="1024" w:type="pct"/>
          </w:tcPr>
          <w:p w14:paraId="699F94D2">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r>
              <w:rPr>
                <w:rFonts w:hint="eastAsia" w:eastAsia="仿宋"/>
                <w:bCs/>
                <w:sz w:val="24"/>
                <w:szCs w:val="28"/>
                <w:highlight w:val="none"/>
                <w:lang w:val="en-US" w:eastAsia="zh-CN"/>
              </w:rPr>
              <w:t>...</w:t>
            </w:r>
          </w:p>
        </w:tc>
        <w:tc>
          <w:tcPr>
            <w:tcW w:w="802" w:type="pct"/>
            <w:vAlign w:val="center"/>
          </w:tcPr>
          <w:p w14:paraId="4F50AF6A">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r>
              <w:rPr>
                <w:rFonts w:hint="eastAsia" w:eastAsia="仿宋"/>
                <w:bCs/>
                <w:sz w:val="24"/>
                <w:szCs w:val="28"/>
                <w:highlight w:val="none"/>
                <w:lang w:val="en-US" w:eastAsia="zh-CN"/>
              </w:rPr>
              <w:t>...</w:t>
            </w:r>
          </w:p>
        </w:tc>
        <w:tc>
          <w:tcPr>
            <w:tcW w:w="763" w:type="pct"/>
            <w:vAlign w:val="center"/>
          </w:tcPr>
          <w:p w14:paraId="3B8FA70A">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r>
              <w:rPr>
                <w:rFonts w:hint="eastAsia" w:eastAsia="仿宋"/>
                <w:bCs/>
                <w:sz w:val="24"/>
                <w:szCs w:val="28"/>
                <w:highlight w:val="none"/>
                <w:lang w:val="en-US" w:eastAsia="zh-CN"/>
              </w:rPr>
              <w:t>...</w:t>
            </w:r>
          </w:p>
        </w:tc>
        <w:tc>
          <w:tcPr>
            <w:tcW w:w="911" w:type="pct"/>
            <w:vAlign w:val="center"/>
          </w:tcPr>
          <w:p w14:paraId="2DA92409">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r>
              <w:rPr>
                <w:rFonts w:hint="eastAsia" w:eastAsia="仿宋"/>
                <w:bCs/>
                <w:sz w:val="24"/>
                <w:szCs w:val="28"/>
                <w:highlight w:val="none"/>
                <w:lang w:val="en-US" w:eastAsia="zh-CN"/>
              </w:rPr>
              <w:t>...</w:t>
            </w:r>
          </w:p>
        </w:tc>
        <w:tc>
          <w:tcPr>
            <w:tcW w:w="498" w:type="pct"/>
            <w:vAlign w:val="center"/>
          </w:tcPr>
          <w:p w14:paraId="21335EC5">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r>
              <w:rPr>
                <w:rFonts w:hint="eastAsia" w:eastAsia="仿宋"/>
                <w:bCs/>
                <w:sz w:val="24"/>
                <w:szCs w:val="28"/>
                <w:highlight w:val="none"/>
                <w:lang w:val="en-US" w:eastAsia="zh-CN"/>
              </w:rPr>
              <w:t>...</w:t>
            </w:r>
          </w:p>
        </w:tc>
        <w:tc>
          <w:tcPr>
            <w:tcW w:w="649" w:type="pct"/>
          </w:tcPr>
          <w:p w14:paraId="12871301">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r>
              <w:rPr>
                <w:rFonts w:hint="eastAsia" w:eastAsia="仿宋"/>
                <w:bCs/>
                <w:sz w:val="24"/>
                <w:szCs w:val="28"/>
                <w:highlight w:val="none"/>
                <w:lang w:val="en-US" w:eastAsia="zh-CN"/>
              </w:rPr>
              <w:t>...</w:t>
            </w:r>
          </w:p>
        </w:tc>
      </w:tr>
      <w:tr w14:paraId="437E2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0" w:hRule="atLeast"/>
        </w:trPr>
        <w:tc>
          <w:tcPr>
            <w:tcW w:w="5000" w:type="pct"/>
            <w:gridSpan w:val="7"/>
            <w:vAlign w:val="center"/>
          </w:tcPr>
          <w:p w14:paraId="314419A8">
            <w:pPr>
              <w:keepNext w:val="0"/>
              <w:keepLines w:val="0"/>
              <w:pageBreakBefore w:val="0"/>
              <w:kinsoku/>
              <w:wordWrap/>
              <w:overflowPunct/>
              <w:topLinePunct w:val="0"/>
              <w:autoSpaceDE/>
              <w:autoSpaceDN/>
              <w:bidi w:val="0"/>
              <w:snapToGrid/>
              <w:spacing w:line="360" w:lineRule="auto"/>
              <w:jc w:val="center"/>
              <w:textAlignment w:val="auto"/>
              <w:outlineLvl w:val="9"/>
              <w:rPr>
                <w:rFonts w:ascii="仿宋" w:hAnsi="仿宋" w:eastAsia="仿宋"/>
                <w:sz w:val="24"/>
                <w:szCs w:val="24"/>
                <w:highlight w:val="none"/>
              </w:rPr>
            </w:pPr>
            <w:r>
              <w:rPr>
                <w:rFonts w:ascii="仿宋" w:hAnsi="仿宋" w:eastAsia="仿宋"/>
                <w:sz w:val="24"/>
                <w:szCs w:val="24"/>
                <w:highlight w:val="none"/>
              </w:rPr>
              <w:t>报价</w:t>
            </w:r>
            <w:r>
              <w:rPr>
                <w:rFonts w:hint="eastAsia" w:ascii="仿宋" w:hAnsi="仿宋" w:eastAsia="仿宋"/>
                <w:sz w:val="24"/>
                <w:szCs w:val="24"/>
                <w:highlight w:val="none"/>
              </w:rPr>
              <w:t>合计</w:t>
            </w:r>
            <w:r>
              <w:rPr>
                <w:rFonts w:ascii="仿宋" w:hAnsi="仿宋" w:eastAsia="仿宋"/>
                <w:sz w:val="24"/>
                <w:szCs w:val="24"/>
                <w:highlight w:val="none"/>
              </w:rPr>
              <w:t>：</w:t>
            </w:r>
            <w:r>
              <w:rPr>
                <w:rFonts w:hint="eastAsia" w:ascii="仿宋" w:hAnsi="仿宋" w:eastAsia="仿宋"/>
                <w:sz w:val="24"/>
                <w:szCs w:val="24"/>
                <w:highlight w:val="none"/>
                <w:lang w:val="en-US" w:eastAsia="zh-CN"/>
              </w:rPr>
              <w:t>人民币</w:t>
            </w:r>
            <w:r>
              <w:rPr>
                <w:rFonts w:ascii="仿宋" w:hAnsi="仿宋" w:eastAsia="仿宋"/>
                <w:sz w:val="24"/>
                <w:szCs w:val="24"/>
                <w:highlight w:val="none"/>
              </w:rPr>
              <w:t>_______</w:t>
            </w:r>
            <w:r>
              <w:rPr>
                <w:rFonts w:hint="eastAsia" w:ascii="仿宋" w:hAnsi="仿宋" w:eastAsia="仿宋"/>
                <w:sz w:val="24"/>
                <w:szCs w:val="24"/>
                <w:highlight w:val="none"/>
              </w:rPr>
              <w:t>元</w:t>
            </w:r>
            <w:r>
              <w:rPr>
                <w:rFonts w:ascii="仿宋" w:hAnsi="仿宋" w:eastAsia="仿宋"/>
                <w:sz w:val="24"/>
                <w:szCs w:val="24"/>
                <w:highlight w:val="none"/>
              </w:rPr>
              <w:t>（大写：_______）</w:t>
            </w:r>
          </w:p>
        </w:tc>
      </w:tr>
    </w:tbl>
    <w:p w14:paraId="5F94A49F">
      <w:pPr>
        <w:keepNext w:val="0"/>
        <w:keepLines w:val="0"/>
        <w:pageBreakBefore w:val="0"/>
        <w:kinsoku/>
        <w:wordWrap/>
        <w:overflowPunct/>
        <w:topLinePunct w:val="0"/>
        <w:autoSpaceDE/>
        <w:autoSpaceDN/>
        <w:bidi w:val="0"/>
        <w:snapToGrid/>
        <w:jc w:val="left"/>
        <w:textAlignment w:val="auto"/>
        <w:outlineLvl w:val="9"/>
        <w:rPr>
          <w:rFonts w:hint="eastAsia" w:ascii="仿宋" w:hAnsi="仿宋" w:eastAsia="仿宋" w:cs="宋体"/>
          <w:spacing w:val="6"/>
          <w:sz w:val="24"/>
          <w:highlight w:val="none"/>
        </w:rPr>
      </w:pPr>
    </w:p>
    <w:p w14:paraId="3FF44AF2">
      <w:pPr>
        <w:rPr>
          <w:rFonts w:hint="eastAsia"/>
          <w:highlight w:val="none"/>
        </w:rPr>
      </w:pPr>
    </w:p>
    <w:p w14:paraId="70372347">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供应商名称：XXXX（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2C5DA137">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14:paraId="552E1A57">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sz w:val="24"/>
          <w:highlight w:val="none"/>
        </w:rPr>
      </w:pPr>
      <w:r>
        <w:rPr>
          <w:rFonts w:hint="eastAsia" w:ascii="仿宋" w:hAnsi="仿宋" w:eastAsia="仿宋"/>
          <w:sz w:val="24"/>
          <w:highlight w:val="none"/>
        </w:rPr>
        <w:t>日    期：XXXX</w:t>
      </w:r>
    </w:p>
    <w:p w14:paraId="0B3E6EE4">
      <w:pPr>
        <w:pStyle w:val="9"/>
        <w:rPr>
          <w:rFonts w:hint="eastAsia" w:ascii="仿宋" w:hAnsi="仿宋" w:eastAsia="仿宋"/>
          <w:sz w:val="24"/>
          <w:highlight w:val="none"/>
        </w:rPr>
      </w:pPr>
    </w:p>
    <w:p w14:paraId="6ED600E6">
      <w:pPr>
        <w:rPr>
          <w:highlight w:val="none"/>
        </w:rPr>
      </w:pPr>
      <w:r>
        <w:rPr>
          <w:highlight w:val="none"/>
        </w:rPr>
        <w:br w:type="page"/>
      </w:r>
    </w:p>
    <w:p w14:paraId="0A46ADE5">
      <w:pPr>
        <w:pStyle w:val="9"/>
        <w:rPr>
          <w:highlight w:val="none"/>
        </w:rPr>
      </w:pPr>
    </w:p>
    <w:p w14:paraId="2151E8E8">
      <w:pPr>
        <w:keepNext w:val="0"/>
        <w:keepLines w:val="0"/>
        <w:pageBreakBefore w:val="0"/>
        <w:kinsoku/>
        <w:wordWrap/>
        <w:overflowPunct/>
        <w:topLinePunct w:val="0"/>
        <w:autoSpaceDE/>
        <w:autoSpaceDN/>
        <w:bidi w:val="0"/>
        <w:snapToGrid/>
        <w:jc w:val="center"/>
        <w:textAlignment w:val="auto"/>
        <w:outlineLvl w:val="9"/>
        <w:rPr>
          <w:rFonts w:hint="eastAsia"/>
          <w:highlight w:val="none"/>
          <w:lang w:eastAsia="zh-CN"/>
        </w:rPr>
      </w:pPr>
      <w:r>
        <w:rPr>
          <w:rFonts w:hint="eastAsia" w:ascii="仿宋" w:hAnsi="仿宋" w:eastAsia="仿宋"/>
          <w:b/>
          <w:sz w:val="32"/>
          <w:szCs w:val="32"/>
          <w:highlight w:val="none"/>
        </w:rPr>
        <w:t>最后报价表</w:t>
      </w:r>
    </w:p>
    <w:p w14:paraId="2394139E">
      <w:pPr>
        <w:keepNext w:val="0"/>
        <w:keepLines w:val="0"/>
        <w:pageBreakBefore w:val="0"/>
        <w:kinsoku/>
        <w:wordWrap/>
        <w:overflowPunct/>
        <w:topLinePunct w:val="0"/>
        <w:autoSpaceDE/>
        <w:autoSpaceDN/>
        <w:bidi w:val="0"/>
        <w:snapToGrid/>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rPr>
        <w:t>项目名称：</w:t>
      </w:r>
      <w:r>
        <w:rPr>
          <w:rFonts w:hint="eastAsia" w:ascii="仿宋" w:hAnsi="仿宋" w:eastAsia="仿宋" w:cs="仿宋"/>
          <w:b w:val="0"/>
          <w:bCs w:val="0"/>
          <w:sz w:val="24"/>
          <w:szCs w:val="24"/>
          <w:highlight w:val="none"/>
          <w:lang w:val="en-US" w:eastAsia="zh-CN"/>
        </w:rPr>
        <w:t>成都市技师学院（成都工贸职业技术学院）2025年电气教学实训耗材采购项目</w:t>
      </w:r>
      <w:r>
        <w:rPr>
          <w:rFonts w:hint="eastAsia" w:ascii="仿宋" w:hAnsi="仿宋" w:eastAsia="仿宋" w:cs="仿宋"/>
          <w:b w:val="0"/>
          <w:bCs w:val="0"/>
          <w:sz w:val="24"/>
          <w:szCs w:val="24"/>
          <w:highlight w:val="none"/>
        </w:rPr>
        <w:t xml:space="preserve">         </w:t>
      </w:r>
      <w:r>
        <w:rPr>
          <w:rFonts w:hint="eastAsia" w:ascii="仿宋" w:hAnsi="仿宋" w:eastAsia="仿宋" w:cs="仿宋"/>
          <w:b w:val="0"/>
          <w:bCs w:val="0"/>
          <w:sz w:val="24"/>
          <w:szCs w:val="24"/>
          <w:highlight w:val="none"/>
          <w:lang w:val="en-US" w:eastAsia="zh-CN"/>
        </w:rPr>
        <w:t xml:space="preserve">                                            </w:t>
      </w:r>
    </w:p>
    <w:p w14:paraId="4E47C5C4">
      <w:pPr>
        <w:keepNext w:val="0"/>
        <w:keepLines w:val="0"/>
        <w:pageBreakBefore w:val="0"/>
        <w:kinsoku/>
        <w:wordWrap/>
        <w:overflowPunct/>
        <w:topLinePunct w:val="0"/>
        <w:autoSpaceDE/>
        <w:autoSpaceDN/>
        <w:bidi w:val="0"/>
        <w:snapToGrid/>
        <w:textAlignment w:val="auto"/>
        <w:outlineLvl w:val="9"/>
        <w:rPr>
          <w:rFonts w:hint="eastAsia" w:ascii="仿宋" w:hAnsi="仿宋" w:eastAsia="仿宋"/>
          <w:b/>
          <w:sz w:val="32"/>
          <w:szCs w:val="32"/>
          <w:highlight w:val="none"/>
        </w:rPr>
      </w:pPr>
      <w:r>
        <w:rPr>
          <w:rFonts w:hint="eastAsia" w:ascii="仿宋" w:hAnsi="仿宋" w:eastAsia="仿宋" w:cs="仿宋"/>
          <w:b w:val="0"/>
          <w:bCs w:val="0"/>
          <w:sz w:val="24"/>
          <w:szCs w:val="24"/>
          <w:highlight w:val="none"/>
        </w:rPr>
        <w:t>项目编号：</w:t>
      </w:r>
      <w:r>
        <w:rPr>
          <w:rFonts w:hint="eastAsia" w:ascii="仿宋" w:hAnsi="仿宋" w:eastAsia="仿宋" w:cs="仿宋"/>
          <w:b w:val="0"/>
          <w:bCs w:val="0"/>
          <w:sz w:val="24"/>
          <w:szCs w:val="24"/>
          <w:highlight w:val="none"/>
          <w:lang w:val="en-US" w:eastAsia="zh-CN"/>
        </w:rPr>
        <w:t>HT-【采】20250319</w:t>
      </w:r>
    </w:p>
    <w:tbl>
      <w:tblPr>
        <w:tblStyle w:val="25"/>
        <w:tblpPr w:leftFromText="180" w:rightFromText="180" w:vertAnchor="text" w:horzAnchor="margin" w:tblpY="285"/>
        <w:tblW w:w="509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2"/>
        <w:gridCol w:w="1915"/>
        <w:gridCol w:w="1499"/>
        <w:gridCol w:w="1427"/>
        <w:gridCol w:w="1704"/>
        <w:gridCol w:w="932"/>
        <w:gridCol w:w="1214"/>
      </w:tblGrid>
      <w:tr w14:paraId="690D56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6" w:hRule="atLeast"/>
        </w:trPr>
        <w:tc>
          <w:tcPr>
            <w:tcW w:w="348" w:type="pct"/>
            <w:vAlign w:val="center"/>
          </w:tcPr>
          <w:p w14:paraId="73B28319">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
                <w:sz w:val="24"/>
                <w:szCs w:val="28"/>
                <w:highlight w:val="none"/>
              </w:rPr>
            </w:pPr>
            <w:r>
              <w:rPr>
                <w:rFonts w:eastAsia="仿宋"/>
                <w:b/>
                <w:sz w:val="24"/>
                <w:szCs w:val="28"/>
                <w:highlight w:val="none"/>
              </w:rPr>
              <w:t>序号</w:t>
            </w:r>
          </w:p>
        </w:tc>
        <w:tc>
          <w:tcPr>
            <w:tcW w:w="1024" w:type="pct"/>
            <w:vAlign w:val="center"/>
          </w:tcPr>
          <w:p w14:paraId="427A69B0">
            <w:pPr>
              <w:keepNext w:val="0"/>
              <w:keepLines w:val="0"/>
              <w:pageBreakBefore w:val="0"/>
              <w:kinsoku/>
              <w:wordWrap/>
              <w:overflowPunct/>
              <w:topLinePunct w:val="0"/>
              <w:autoSpaceDE/>
              <w:autoSpaceDN/>
              <w:bidi w:val="0"/>
              <w:snapToGrid/>
              <w:spacing w:line="360" w:lineRule="auto"/>
              <w:jc w:val="center"/>
              <w:textAlignment w:val="auto"/>
              <w:outlineLvl w:val="9"/>
              <w:rPr>
                <w:rFonts w:hint="default" w:eastAsia="仿宋"/>
                <w:b/>
                <w:sz w:val="24"/>
                <w:szCs w:val="28"/>
                <w:highlight w:val="none"/>
                <w:lang w:val="en-US" w:eastAsia="zh-CN"/>
              </w:rPr>
            </w:pPr>
            <w:r>
              <w:rPr>
                <w:rFonts w:hint="eastAsia" w:eastAsia="仿宋"/>
                <w:b/>
                <w:sz w:val="24"/>
                <w:szCs w:val="28"/>
                <w:highlight w:val="none"/>
                <w:lang w:val="en-US" w:eastAsia="zh-CN"/>
              </w:rPr>
              <w:t>标的名称</w:t>
            </w:r>
          </w:p>
        </w:tc>
        <w:tc>
          <w:tcPr>
            <w:tcW w:w="802" w:type="pct"/>
            <w:vAlign w:val="center"/>
          </w:tcPr>
          <w:p w14:paraId="5F060CA2">
            <w:pPr>
              <w:keepNext w:val="0"/>
              <w:keepLines w:val="0"/>
              <w:pageBreakBefore w:val="0"/>
              <w:kinsoku/>
              <w:wordWrap/>
              <w:overflowPunct/>
              <w:topLinePunct w:val="0"/>
              <w:autoSpaceDE/>
              <w:autoSpaceDN/>
              <w:bidi w:val="0"/>
              <w:snapToGrid/>
              <w:spacing w:line="360" w:lineRule="auto"/>
              <w:jc w:val="center"/>
              <w:textAlignment w:val="auto"/>
              <w:outlineLvl w:val="9"/>
              <w:rPr>
                <w:rFonts w:hint="eastAsia" w:eastAsia="仿宋"/>
                <w:b/>
                <w:sz w:val="24"/>
                <w:szCs w:val="28"/>
                <w:highlight w:val="none"/>
                <w:lang w:eastAsia="zh-CN"/>
              </w:rPr>
            </w:pPr>
            <w:r>
              <w:rPr>
                <w:rFonts w:hint="eastAsia" w:eastAsia="仿宋"/>
                <w:b/>
                <w:sz w:val="24"/>
                <w:szCs w:val="28"/>
                <w:highlight w:val="none"/>
              </w:rPr>
              <w:t>制造商家、品牌及规格型号</w:t>
            </w:r>
          </w:p>
        </w:tc>
        <w:tc>
          <w:tcPr>
            <w:tcW w:w="763" w:type="pct"/>
            <w:vAlign w:val="center"/>
          </w:tcPr>
          <w:p w14:paraId="7CD1E137">
            <w:pPr>
              <w:keepNext w:val="0"/>
              <w:keepLines w:val="0"/>
              <w:pageBreakBefore w:val="0"/>
              <w:kinsoku/>
              <w:wordWrap/>
              <w:overflowPunct/>
              <w:topLinePunct w:val="0"/>
              <w:autoSpaceDE/>
              <w:autoSpaceDN/>
              <w:bidi w:val="0"/>
              <w:snapToGrid/>
              <w:spacing w:line="360" w:lineRule="auto"/>
              <w:jc w:val="center"/>
              <w:textAlignment w:val="auto"/>
              <w:outlineLvl w:val="9"/>
              <w:rPr>
                <w:rFonts w:hint="eastAsia" w:eastAsia="仿宋"/>
                <w:b/>
                <w:sz w:val="24"/>
                <w:szCs w:val="28"/>
                <w:highlight w:val="none"/>
              </w:rPr>
            </w:pPr>
            <w:r>
              <w:rPr>
                <w:rFonts w:hint="eastAsia" w:eastAsia="仿宋"/>
                <w:b/>
                <w:sz w:val="24"/>
                <w:szCs w:val="28"/>
                <w:highlight w:val="none"/>
              </w:rPr>
              <w:t>数量</w:t>
            </w:r>
          </w:p>
          <w:p w14:paraId="31D440F9">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
                <w:sz w:val="24"/>
                <w:szCs w:val="28"/>
                <w:highlight w:val="none"/>
              </w:rPr>
            </w:pPr>
            <w:r>
              <w:rPr>
                <w:rFonts w:hint="eastAsia" w:eastAsia="仿宋"/>
                <w:b/>
                <w:sz w:val="24"/>
                <w:szCs w:val="28"/>
                <w:highlight w:val="none"/>
              </w:rPr>
              <w:t>（单位）</w:t>
            </w:r>
          </w:p>
        </w:tc>
        <w:tc>
          <w:tcPr>
            <w:tcW w:w="911" w:type="pct"/>
            <w:vAlign w:val="center"/>
          </w:tcPr>
          <w:p w14:paraId="633B9502">
            <w:pPr>
              <w:keepNext w:val="0"/>
              <w:keepLines w:val="0"/>
              <w:pageBreakBefore w:val="0"/>
              <w:kinsoku/>
              <w:wordWrap/>
              <w:overflowPunct/>
              <w:topLinePunct w:val="0"/>
              <w:autoSpaceDE/>
              <w:autoSpaceDN/>
              <w:bidi w:val="0"/>
              <w:snapToGrid/>
              <w:spacing w:line="360" w:lineRule="auto"/>
              <w:jc w:val="center"/>
              <w:textAlignment w:val="auto"/>
              <w:outlineLvl w:val="9"/>
              <w:rPr>
                <w:rFonts w:hint="eastAsia" w:eastAsia="仿宋"/>
                <w:b/>
                <w:sz w:val="24"/>
                <w:szCs w:val="28"/>
                <w:highlight w:val="none"/>
                <w:lang w:val="en-US" w:eastAsia="zh-CN"/>
              </w:rPr>
            </w:pPr>
            <w:r>
              <w:rPr>
                <w:rFonts w:hint="eastAsia" w:eastAsia="仿宋"/>
                <w:b/>
                <w:sz w:val="24"/>
                <w:szCs w:val="28"/>
                <w:highlight w:val="none"/>
                <w:lang w:val="en-US" w:eastAsia="zh-CN"/>
              </w:rPr>
              <w:t>单价</w:t>
            </w:r>
          </w:p>
          <w:p w14:paraId="05C9EBEB">
            <w:pPr>
              <w:keepNext w:val="0"/>
              <w:keepLines w:val="0"/>
              <w:pageBreakBefore w:val="0"/>
              <w:kinsoku/>
              <w:wordWrap/>
              <w:overflowPunct/>
              <w:topLinePunct w:val="0"/>
              <w:autoSpaceDE/>
              <w:autoSpaceDN/>
              <w:bidi w:val="0"/>
              <w:snapToGrid/>
              <w:spacing w:line="360" w:lineRule="auto"/>
              <w:jc w:val="center"/>
              <w:textAlignment w:val="auto"/>
              <w:outlineLvl w:val="9"/>
              <w:rPr>
                <w:rFonts w:hint="eastAsia" w:eastAsia="仿宋"/>
                <w:b/>
                <w:sz w:val="24"/>
                <w:szCs w:val="28"/>
                <w:highlight w:val="none"/>
                <w:lang w:val="en-US" w:eastAsia="zh-CN"/>
              </w:rPr>
            </w:pPr>
            <w:r>
              <w:rPr>
                <w:rFonts w:hint="eastAsia" w:eastAsia="仿宋"/>
                <w:b/>
                <w:sz w:val="24"/>
                <w:szCs w:val="28"/>
                <w:highlight w:val="none"/>
                <w:lang w:val="en-US" w:eastAsia="zh-CN"/>
              </w:rPr>
              <w:t>（元）</w:t>
            </w:r>
          </w:p>
        </w:tc>
        <w:tc>
          <w:tcPr>
            <w:tcW w:w="498" w:type="pct"/>
            <w:vAlign w:val="center"/>
          </w:tcPr>
          <w:p w14:paraId="1B2AD068">
            <w:pPr>
              <w:keepNext w:val="0"/>
              <w:keepLines w:val="0"/>
              <w:pageBreakBefore w:val="0"/>
              <w:kinsoku/>
              <w:wordWrap/>
              <w:overflowPunct/>
              <w:topLinePunct w:val="0"/>
              <w:autoSpaceDE/>
              <w:autoSpaceDN/>
              <w:bidi w:val="0"/>
              <w:snapToGrid/>
              <w:spacing w:line="360" w:lineRule="auto"/>
              <w:jc w:val="center"/>
              <w:textAlignment w:val="auto"/>
              <w:outlineLvl w:val="9"/>
              <w:rPr>
                <w:rFonts w:hint="default" w:eastAsia="仿宋"/>
                <w:b/>
                <w:sz w:val="24"/>
                <w:szCs w:val="28"/>
                <w:highlight w:val="none"/>
                <w:lang w:val="en-US" w:eastAsia="zh-CN"/>
              </w:rPr>
            </w:pPr>
            <w:r>
              <w:rPr>
                <w:rFonts w:hint="eastAsia" w:eastAsia="仿宋"/>
                <w:b/>
                <w:sz w:val="24"/>
                <w:szCs w:val="28"/>
                <w:highlight w:val="none"/>
                <w:lang w:val="en-US" w:eastAsia="zh-CN"/>
              </w:rPr>
              <w:t>所属行业</w:t>
            </w:r>
          </w:p>
        </w:tc>
        <w:tc>
          <w:tcPr>
            <w:tcW w:w="649" w:type="pct"/>
            <w:vAlign w:val="center"/>
          </w:tcPr>
          <w:p w14:paraId="030806C2">
            <w:pPr>
              <w:keepNext w:val="0"/>
              <w:keepLines w:val="0"/>
              <w:pageBreakBefore w:val="0"/>
              <w:kinsoku/>
              <w:wordWrap/>
              <w:overflowPunct/>
              <w:topLinePunct w:val="0"/>
              <w:autoSpaceDE/>
              <w:autoSpaceDN/>
              <w:bidi w:val="0"/>
              <w:snapToGrid/>
              <w:spacing w:line="360" w:lineRule="auto"/>
              <w:jc w:val="center"/>
              <w:textAlignment w:val="auto"/>
              <w:outlineLvl w:val="9"/>
              <w:rPr>
                <w:rFonts w:hint="eastAsia" w:eastAsia="仿宋"/>
                <w:b/>
                <w:sz w:val="24"/>
                <w:szCs w:val="28"/>
                <w:highlight w:val="none"/>
                <w:lang w:val="en-US" w:eastAsia="zh-CN"/>
              </w:rPr>
            </w:pPr>
            <w:r>
              <w:rPr>
                <w:rFonts w:hint="eastAsia" w:eastAsia="仿宋"/>
                <w:b/>
                <w:sz w:val="24"/>
                <w:szCs w:val="28"/>
                <w:highlight w:val="none"/>
                <w:lang w:val="en-US" w:eastAsia="zh-CN"/>
              </w:rPr>
              <w:t>备注</w:t>
            </w:r>
          </w:p>
        </w:tc>
      </w:tr>
      <w:tr w14:paraId="15D49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702" w:hRule="atLeast"/>
        </w:trPr>
        <w:tc>
          <w:tcPr>
            <w:tcW w:w="348" w:type="pct"/>
          </w:tcPr>
          <w:p w14:paraId="4B9EBEBA">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r>
              <w:rPr>
                <w:rFonts w:eastAsia="仿宋"/>
                <w:bCs/>
                <w:sz w:val="24"/>
                <w:szCs w:val="28"/>
                <w:highlight w:val="none"/>
              </w:rPr>
              <w:t>1</w:t>
            </w:r>
          </w:p>
        </w:tc>
        <w:tc>
          <w:tcPr>
            <w:tcW w:w="1024" w:type="pct"/>
          </w:tcPr>
          <w:p w14:paraId="4FC6B787">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802" w:type="pct"/>
            <w:vAlign w:val="center"/>
          </w:tcPr>
          <w:p w14:paraId="3EE9F99B">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763" w:type="pct"/>
            <w:vAlign w:val="center"/>
          </w:tcPr>
          <w:p w14:paraId="3AD30C7F">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911" w:type="pct"/>
            <w:vAlign w:val="center"/>
          </w:tcPr>
          <w:p w14:paraId="7D3C45FB">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498" w:type="pct"/>
            <w:vAlign w:val="center"/>
          </w:tcPr>
          <w:p w14:paraId="1847FDB7">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649" w:type="pct"/>
          </w:tcPr>
          <w:p w14:paraId="627AC329">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r>
      <w:tr w14:paraId="05B83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2" w:hRule="atLeast"/>
        </w:trPr>
        <w:tc>
          <w:tcPr>
            <w:tcW w:w="348" w:type="pct"/>
          </w:tcPr>
          <w:p w14:paraId="51D7E910">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r>
              <w:rPr>
                <w:rFonts w:eastAsia="仿宋"/>
                <w:bCs/>
                <w:sz w:val="24"/>
                <w:szCs w:val="28"/>
                <w:highlight w:val="none"/>
              </w:rPr>
              <w:t>2</w:t>
            </w:r>
          </w:p>
        </w:tc>
        <w:tc>
          <w:tcPr>
            <w:tcW w:w="1024" w:type="pct"/>
          </w:tcPr>
          <w:p w14:paraId="446620CB">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802" w:type="pct"/>
            <w:vAlign w:val="center"/>
          </w:tcPr>
          <w:p w14:paraId="28CA625F">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763" w:type="pct"/>
            <w:vAlign w:val="center"/>
          </w:tcPr>
          <w:p w14:paraId="24406B1A">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911" w:type="pct"/>
            <w:vAlign w:val="center"/>
          </w:tcPr>
          <w:p w14:paraId="56B73DD4">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498" w:type="pct"/>
            <w:vAlign w:val="center"/>
          </w:tcPr>
          <w:p w14:paraId="76614D88">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c>
          <w:tcPr>
            <w:tcW w:w="649" w:type="pct"/>
          </w:tcPr>
          <w:p w14:paraId="75127628">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p>
        </w:tc>
      </w:tr>
      <w:tr w14:paraId="48E44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702" w:hRule="atLeast"/>
        </w:trPr>
        <w:tc>
          <w:tcPr>
            <w:tcW w:w="348" w:type="pct"/>
          </w:tcPr>
          <w:p w14:paraId="724DC55B">
            <w:pPr>
              <w:keepNext w:val="0"/>
              <w:keepLines w:val="0"/>
              <w:pageBreakBefore w:val="0"/>
              <w:kinsoku/>
              <w:wordWrap/>
              <w:overflowPunct/>
              <w:topLinePunct w:val="0"/>
              <w:autoSpaceDE/>
              <w:autoSpaceDN/>
              <w:bidi w:val="0"/>
              <w:snapToGrid/>
              <w:spacing w:line="360" w:lineRule="auto"/>
              <w:jc w:val="center"/>
              <w:textAlignment w:val="auto"/>
              <w:outlineLvl w:val="9"/>
              <w:rPr>
                <w:rFonts w:hint="default" w:eastAsia="仿宋"/>
                <w:bCs/>
                <w:sz w:val="24"/>
                <w:szCs w:val="28"/>
                <w:highlight w:val="none"/>
                <w:lang w:val="en-US" w:eastAsia="zh-CN"/>
              </w:rPr>
            </w:pPr>
            <w:r>
              <w:rPr>
                <w:rFonts w:hint="eastAsia" w:eastAsia="仿宋"/>
                <w:bCs/>
                <w:sz w:val="24"/>
                <w:szCs w:val="28"/>
                <w:highlight w:val="none"/>
                <w:lang w:val="en-US" w:eastAsia="zh-CN"/>
              </w:rPr>
              <w:t>...</w:t>
            </w:r>
          </w:p>
        </w:tc>
        <w:tc>
          <w:tcPr>
            <w:tcW w:w="1024" w:type="pct"/>
          </w:tcPr>
          <w:p w14:paraId="6A991657">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r>
              <w:rPr>
                <w:rFonts w:hint="eastAsia" w:eastAsia="仿宋"/>
                <w:bCs/>
                <w:sz w:val="24"/>
                <w:szCs w:val="28"/>
                <w:highlight w:val="none"/>
                <w:lang w:val="en-US" w:eastAsia="zh-CN"/>
              </w:rPr>
              <w:t>...</w:t>
            </w:r>
          </w:p>
        </w:tc>
        <w:tc>
          <w:tcPr>
            <w:tcW w:w="802" w:type="pct"/>
            <w:vAlign w:val="center"/>
          </w:tcPr>
          <w:p w14:paraId="5DB5FE7F">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r>
              <w:rPr>
                <w:rFonts w:hint="eastAsia" w:eastAsia="仿宋"/>
                <w:bCs/>
                <w:sz w:val="24"/>
                <w:szCs w:val="28"/>
                <w:highlight w:val="none"/>
                <w:lang w:val="en-US" w:eastAsia="zh-CN"/>
              </w:rPr>
              <w:t>...</w:t>
            </w:r>
          </w:p>
        </w:tc>
        <w:tc>
          <w:tcPr>
            <w:tcW w:w="763" w:type="pct"/>
            <w:vAlign w:val="center"/>
          </w:tcPr>
          <w:p w14:paraId="5DA0B898">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r>
              <w:rPr>
                <w:rFonts w:hint="eastAsia" w:eastAsia="仿宋"/>
                <w:bCs/>
                <w:sz w:val="24"/>
                <w:szCs w:val="28"/>
                <w:highlight w:val="none"/>
                <w:lang w:val="en-US" w:eastAsia="zh-CN"/>
              </w:rPr>
              <w:t>...</w:t>
            </w:r>
          </w:p>
        </w:tc>
        <w:tc>
          <w:tcPr>
            <w:tcW w:w="911" w:type="pct"/>
            <w:vAlign w:val="center"/>
          </w:tcPr>
          <w:p w14:paraId="6FEA933F">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r>
              <w:rPr>
                <w:rFonts w:hint="eastAsia" w:eastAsia="仿宋"/>
                <w:bCs/>
                <w:sz w:val="24"/>
                <w:szCs w:val="28"/>
                <w:highlight w:val="none"/>
                <w:lang w:val="en-US" w:eastAsia="zh-CN"/>
              </w:rPr>
              <w:t>...</w:t>
            </w:r>
          </w:p>
        </w:tc>
        <w:tc>
          <w:tcPr>
            <w:tcW w:w="498" w:type="pct"/>
            <w:vAlign w:val="center"/>
          </w:tcPr>
          <w:p w14:paraId="053626AA">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r>
              <w:rPr>
                <w:rFonts w:hint="eastAsia" w:eastAsia="仿宋"/>
                <w:bCs/>
                <w:sz w:val="24"/>
                <w:szCs w:val="28"/>
                <w:highlight w:val="none"/>
                <w:lang w:val="en-US" w:eastAsia="zh-CN"/>
              </w:rPr>
              <w:t>...</w:t>
            </w:r>
          </w:p>
        </w:tc>
        <w:tc>
          <w:tcPr>
            <w:tcW w:w="649" w:type="pct"/>
          </w:tcPr>
          <w:p w14:paraId="668C7C36">
            <w:pPr>
              <w:keepNext w:val="0"/>
              <w:keepLines w:val="0"/>
              <w:pageBreakBefore w:val="0"/>
              <w:kinsoku/>
              <w:wordWrap/>
              <w:overflowPunct/>
              <w:topLinePunct w:val="0"/>
              <w:autoSpaceDE/>
              <w:autoSpaceDN/>
              <w:bidi w:val="0"/>
              <w:snapToGrid/>
              <w:spacing w:line="360" w:lineRule="auto"/>
              <w:jc w:val="center"/>
              <w:textAlignment w:val="auto"/>
              <w:outlineLvl w:val="9"/>
              <w:rPr>
                <w:rFonts w:eastAsia="仿宋"/>
                <w:bCs/>
                <w:sz w:val="24"/>
                <w:szCs w:val="28"/>
                <w:highlight w:val="none"/>
              </w:rPr>
            </w:pPr>
            <w:r>
              <w:rPr>
                <w:rFonts w:hint="eastAsia" w:eastAsia="仿宋"/>
                <w:bCs/>
                <w:sz w:val="24"/>
                <w:szCs w:val="28"/>
                <w:highlight w:val="none"/>
                <w:lang w:val="en-US" w:eastAsia="zh-CN"/>
              </w:rPr>
              <w:t>...</w:t>
            </w:r>
          </w:p>
        </w:tc>
      </w:tr>
      <w:tr w14:paraId="6FBB8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0" w:hRule="atLeast"/>
        </w:trPr>
        <w:tc>
          <w:tcPr>
            <w:tcW w:w="5000" w:type="pct"/>
            <w:gridSpan w:val="7"/>
            <w:vAlign w:val="center"/>
          </w:tcPr>
          <w:p w14:paraId="11729FAA">
            <w:pPr>
              <w:keepNext w:val="0"/>
              <w:keepLines w:val="0"/>
              <w:pageBreakBefore w:val="0"/>
              <w:kinsoku/>
              <w:wordWrap/>
              <w:overflowPunct/>
              <w:topLinePunct w:val="0"/>
              <w:autoSpaceDE/>
              <w:autoSpaceDN/>
              <w:bidi w:val="0"/>
              <w:snapToGrid/>
              <w:spacing w:line="360" w:lineRule="auto"/>
              <w:jc w:val="center"/>
              <w:textAlignment w:val="auto"/>
              <w:outlineLvl w:val="9"/>
              <w:rPr>
                <w:rFonts w:ascii="仿宋" w:hAnsi="仿宋" w:eastAsia="仿宋"/>
                <w:sz w:val="24"/>
                <w:szCs w:val="24"/>
                <w:highlight w:val="none"/>
              </w:rPr>
            </w:pPr>
            <w:r>
              <w:rPr>
                <w:rFonts w:ascii="仿宋" w:hAnsi="仿宋" w:eastAsia="仿宋"/>
                <w:sz w:val="24"/>
                <w:szCs w:val="24"/>
                <w:highlight w:val="none"/>
              </w:rPr>
              <w:t>报价</w:t>
            </w:r>
            <w:r>
              <w:rPr>
                <w:rFonts w:hint="eastAsia" w:ascii="仿宋" w:hAnsi="仿宋" w:eastAsia="仿宋"/>
                <w:sz w:val="24"/>
                <w:szCs w:val="24"/>
                <w:highlight w:val="none"/>
              </w:rPr>
              <w:t>合计</w:t>
            </w:r>
            <w:r>
              <w:rPr>
                <w:rFonts w:ascii="仿宋" w:hAnsi="仿宋" w:eastAsia="仿宋"/>
                <w:sz w:val="24"/>
                <w:szCs w:val="24"/>
                <w:highlight w:val="none"/>
              </w:rPr>
              <w:t>：</w:t>
            </w:r>
            <w:r>
              <w:rPr>
                <w:rFonts w:hint="eastAsia" w:ascii="仿宋" w:hAnsi="仿宋" w:eastAsia="仿宋"/>
                <w:sz w:val="24"/>
                <w:szCs w:val="24"/>
                <w:highlight w:val="none"/>
                <w:lang w:val="en-US" w:eastAsia="zh-CN"/>
              </w:rPr>
              <w:t>人民币</w:t>
            </w:r>
            <w:r>
              <w:rPr>
                <w:rFonts w:ascii="仿宋" w:hAnsi="仿宋" w:eastAsia="仿宋"/>
                <w:sz w:val="24"/>
                <w:szCs w:val="24"/>
                <w:highlight w:val="none"/>
              </w:rPr>
              <w:t>_______</w:t>
            </w:r>
            <w:r>
              <w:rPr>
                <w:rFonts w:hint="eastAsia" w:ascii="仿宋" w:hAnsi="仿宋" w:eastAsia="仿宋"/>
                <w:sz w:val="24"/>
                <w:szCs w:val="24"/>
                <w:highlight w:val="none"/>
              </w:rPr>
              <w:t>元</w:t>
            </w:r>
            <w:r>
              <w:rPr>
                <w:rFonts w:ascii="仿宋" w:hAnsi="仿宋" w:eastAsia="仿宋"/>
                <w:sz w:val="24"/>
                <w:szCs w:val="24"/>
                <w:highlight w:val="none"/>
              </w:rPr>
              <w:t>（大写：_______）</w:t>
            </w:r>
          </w:p>
        </w:tc>
      </w:tr>
    </w:tbl>
    <w:p w14:paraId="502AEC7C">
      <w:pPr>
        <w:keepNext w:val="0"/>
        <w:keepLines w:val="0"/>
        <w:pageBreakBefore w:val="0"/>
        <w:kinsoku/>
        <w:wordWrap/>
        <w:overflowPunct/>
        <w:topLinePunct w:val="0"/>
        <w:autoSpaceDE/>
        <w:autoSpaceDN/>
        <w:bidi w:val="0"/>
        <w:snapToGrid/>
        <w:textAlignment w:val="auto"/>
        <w:outlineLvl w:val="9"/>
        <w:rPr>
          <w:rFonts w:hint="default" w:eastAsia="仿宋"/>
          <w:highlight w:val="none"/>
          <w:lang w:val="en-US" w:eastAsia="zh-CN"/>
        </w:rPr>
      </w:pPr>
    </w:p>
    <w:p w14:paraId="023FCD2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Times New Roman" w:hAnsi="Times New Roman" w:eastAsia="仿宋" w:cs="Times New Roman"/>
          <w:b w:val="0"/>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注：</w:t>
      </w:r>
      <w:r>
        <w:rPr>
          <w:rFonts w:hint="eastAsia" w:ascii="Times New Roman" w:hAnsi="Times New Roman" w:eastAsia="仿宋" w:cs="Times New Roman"/>
          <w:b w:val="0"/>
          <w:kern w:val="2"/>
          <w:sz w:val="24"/>
          <w:szCs w:val="24"/>
          <w:highlight w:val="none"/>
          <w:lang w:val="en-US" w:eastAsia="zh-CN" w:bidi="ar-SA"/>
        </w:rPr>
        <w:t>1.供应商最后报价金额如与“报价一览表”中报价合计有差额，差额部分则按照同比例下浮原则处理。</w:t>
      </w:r>
    </w:p>
    <w:p w14:paraId="7C9B572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outlineLvl w:val="9"/>
        <w:rPr>
          <w:rFonts w:hint="eastAsia" w:ascii="Times New Roman" w:hAnsi="Times New Roman" w:eastAsia="仿宋" w:cs="Times New Roman"/>
          <w:b w:val="0"/>
          <w:kern w:val="2"/>
          <w:sz w:val="24"/>
          <w:szCs w:val="24"/>
          <w:highlight w:val="none"/>
          <w:lang w:val="en-US" w:eastAsia="zh-CN" w:bidi="ar-SA"/>
        </w:rPr>
      </w:pPr>
      <w:r>
        <w:rPr>
          <w:rFonts w:hint="eastAsia" w:ascii="Times New Roman" w:hAnsi="Times New Roman" w:eastAsia="仿宋" w:cs="Times New Roman"/>
          <w:b/>
          <w:bCs/>
          <w:kern w:val="2"/>
          <w:sz w:val="24"/>
          <w:szCs w:val="24"/>
          <w:highlight w:val="none"/>
          <w:lang w:val="en-US" w:eastAsia="zh-CN" w:bidi="ar-SA"/>
        </w:rPr>
        <w:t>2.此表为磋商结束后，由供应商填写“最后报价表”</w:t>
      </w:r>
      <w:r>
        <w:rPr>
          <w:rFonts w:hint="eastAsia" w:ascii="Times New Roman" w:hAnsi="Times New Roman" w:eastAsia="仿宋" w:cs="Times New Roman"/>
          <w:b w:val="0"/>
          <w:kern w:val="2"/>
          <w:sz w:val="24"/>
          <w:szCs w:val="24"/>
          <w:highlight w:val="none"/>
          <w:lang w:val="en-US" w:eastAsia="zh-CN" w:bidi="ar-SA"/>
        </w:rPr>
        <w:t>，经供应商法定代表人/单位负责人或代理人签字后密封递交给采购代理机构工作人员，</w:t>
      </w:r>
      <w:r>
        <w:rPr>
          <w:rFonts w:hint="eastAsia" w:ascii="Times New Roman" w:hAnsi="Times New Roman" w:eastAsia="仿宋" w:cs="Times New Roman"/>
          <w:b/>
          <w:bCs/>
          <w:kern w:val="2"/>
          <w:sz w:val="24"/>
          <w:szCs w:val="24"/>
          <w:highlight w:val="none"/>
          <w:lang w:val="en-US" w:eastAsia="zh-CN" w:bidi="ar-SA"/>
        </w:rPr>
        <w:t>由其收集齐后集中递交磋商小组</w:t>
      </w:r>
      <w:r>
        <w:rPr>
          <w:rFonts w:hint="eastAsia" w:ascii="Times New Roman" w:hAnsi="Times New Roman" w:eastAsia="仿宋" w:cs="Times New Roman"/>
          <w:b w:val="0"/>
          <w:kern w:val="2"/>
          <w:sz w:val="24"/>
          <w:szCs w:val="24"/>
          <w:highlight w:val="none"/>
          <w:lang w:val="en-US" w:eastAsia="zh-CN" w:bidi="ar-SA"/>
        </w:rPr>
        <w:t>。供应商在响应文件中提交此表的，不影响其响应文件的有效性，其最后报价以磋商结束后提交的“最后报价表”为准。</w:t>
      </w:r>
    </w:p>
    <w:p w14:paraId="098F81B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b w:val="0"/>
          <w:kern w:val="2"/>
          <w:sz w:val="24"/>
          <w:szCs w:val="24"/>
          <w:highlight w:val="none"/>
          <w:lang w:val="en-US" w:eastAsia="zh-CN" w:bidi="ar-SA"/>
        </w:rPr>
      </w:pPr>
      <w:r>
        <w:rPr>
          <w:rFonts w:hint="eastAsia" w:ascii="Times New Roman" w:hAnsi="Times New Roman" w:eastAsia="仿宋" w:cs="Times New Roman"/>
          <w:b w:val="0"/>
          <w:kern w:val="2"/>
          <w:sz w:val="24"/>
          <w:szCs w:val="24"/>
          <w:highlight w:val="none"/>
          <w:lang w:val="en-US" w:eastAsia="zh-CN" w:bidi="ar-SA"/>
        </w:rPr>
        <w:t>3.供应商可自行准备此表磋商现场备用。</w:t>
      </w:r>
    </w:p>
    <w:p w14:paraId="11048E6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供应商名称：XXXX</w:t>
      </w:r>
    </w:p>
    <w:p w14:paraId="1751C7EB">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14:paraId="068C5F0F">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日    期：XXXX</w:t>
      </w:r>
    </w:p>
    <w:p w14:paraId="14489F93">
      <w:pPr>
        <w:rPr>
          <w:rFonts w:hint="eastAsia" w:ascii="仿宋" w:hAnsi="仿宋" w:eastAsia="仿宋"/>
          <w:b/>
          <w:sz w:val="32"/>
          <w:szCs w:val="32"/>
          <w:highlight w:val="none"/>
        </w:rPr>
      </w:pPr>
      <w:r>
        <w:rPr>
          <w:rFonts w:hint="eastAsia" w:ascii="仿宋" w:hAnsi="仿宋" w:eastAsia="仿宋"/>
          <w:b/>
          <w:sz w:val="32"/>
          <w:szCs w:val="32"/>
          <w:highlight w:val="none"/>
        </w:rPr>
        <w:br w:type="page"/>
      </w:r>
    </w:p>
    <w:p w14:paraId="53EF086C">
      <w:pPr>
        <w:keepNext w:val="0"/>
        <w:keepLines w:val="0"/>
        <w:pageBreakBefore w:val="0"/>
        <w:kinsoku/>
        <w:wordWrap/>
        <w:overflowPunct/>
        <w:topLinePunct w:val="0"/>
        <w:autoSpaceDE/>
        <w:autoSpaceDN/>
        <w:bidi w:val="0"/>
        <w:snapToGrid/>
        <w:jc w:val="left"/>
        <w:textAlignment w:val="auto"/>
        <w:outlineLvl w:val="9"/>
        <w:rPr>
          <w:rFonts w:hint="eastAsia" w:ascii="仿宋" w:hAnsi="仿宋" w:eastAsia="仿宋"/>
          <w:b/>
          <w:bCs/>
          <w:sz w:val="32"/>
          <w:szCs w:val="32"/>
          <w:highlight w:val="none"/>
          <w:lang w:val="en-US" w:eastAsia="zh-CN"/>
        </w:rPr>
      </w:pPr>
      <w:r>
        <w:rPr>
          <w:rFonts w:hint="eastAsia" w:ascii="仿宋" w:hAnsi="仿宋" w:eastAsia="仿宋"/>
          <w:b/>
          <w:sz w:val="32"/>
          <w:szCs w:val="32"/>
          <w:highlight w:val="none"/>
        </w:rPr>
        <w:t>格式2-</w:t>
      </w:r>
      <w:r>
        <w:rPr>
          <w:rFonts w:hint="eastAsia" w:ascii="仿宋" w:hAnsi="仿宋" w:eastAsia="仿宋"/>
          <w:b/>
          <w:sz w:val="32"/>
          <w:szCs w:val="32"/>
          <w:highlight w:val="none"/>
          <w:lang w:val="en-US" w:eastAsia="zh-CN"/>
        </w:rPr>
        <w:t>4</w:t>
      </w:r>
    </w:p>
    <w:p w14:paraId="0ADCA63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b/>
          <w:bCs/>
          <w:sz w:val="32"/>
          <w:szCs w:val="32"/>
          <w:highlight w:val="none"/>
        </w:rPr>
      </w:pPr>
      <w:r>
        <w:rPr>
          <w:rFonts w:hint="eastAsia" w:ascii="仿宋" w:hAnsi="仿宋" w:eastAsia="仿宋"/>
          <w:b/>
          <w:bCs/>
          <w:sz w:val="32"/>
          <w:szCs w:val="32"/>
          <w:highlight w:val="none"/>
        </w:rPr>
        <w:t>技术响应情况表</w:t>
      </w:r>
    </w:p>
    <w:p w14:paraId="18CAA677">
      <w:pPr>
        <w:keepNext w:val="0"/>
        <w:keepLines w:val="0"/>
        <w:pageBreakBefore w:val="0"/>
        <w:kinsoku/>
        <w:wordWrap/>
        <w:overflowPunct/>
        <w:topLinePunct w:val="0"/>
        <w:autoSpaceDE/>
        <w:autoSpaceDN/>
        <w:bidi w:val="0"/>
        <w:snapToGrid/>
        <w:textAlignment w:val="auto"/>
        <w:outlineLvl w:val="9"/>
        <w:rPr>
          <w:highlight w:val="none"/>
        </w:rPr>
      </w:pP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384"/>
        <w:gridCol w:w="2707"/>
        <w:gridCol w:w="2142"/>
      </w:tblGrid>
      <w:tr w14:paraId="4EBC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02E95E4D">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2"/>
                <w:szCs w:val="22"/>
                <w:highlight w:val="none"/>
              </w:rPr>
            </w:pPr>
            <w:r>
              <w:rPr>
                <w:rFonts w:hint="eastAsia" w:ascii="仿宋" w:hAnsi="仿宋" w:eastAsia="仿宋" w:cs="仿宋"/>
                <w:b/>
                <w:bCs/>
                <w:sz w:val="24"/>
                <w:szCs w:val="24"/>
                <w:highlight w:val="none"/>
              </w:rPr>
              <w:t>序号</w:t>
            </w:r>
          </w:p>
        </w:tc>
        <w:tc>
          <w:tcPr>
            <w:tcW w:w="1844" w:type="pct"/>
            <w:noWrap w:val="0"/>
            <w:vAlign w:val="center"/>
          </w:tcPr>
          <w:p w14:paraId="1DA093E9">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2"/>
                <w:szCs w:val="22"/>
                <w:highlight w:val="none"/>
                <w:lang w:eastAsia="zh-CN"/>
              </w:rPr>
            </w:pPr>
            <w:r>
              <w:rPr>
                <w:rFonts w:hint="eastAsia" w:ascii="仿宋" w:hAnsi="仿宋" w:eastAsia="仿宋" w:cs="仿宋"/>
                <w:b/>
                <w:bCs/>
                <w:sz w:val="24"/>
                <w:szCs w:val="24"/>
                <w:highlight w:val="none"/>
                <w:lang w:eastAsia="zh-CN"/>
              </w:rPr>
              <w:t>磋商</w:t>
            </w:r>
            <w:r>
              <w:rPr>
                <w:rFonts w:hint="eastAsia" w:ascii="仿宋" w:hAnsi="仿宋" w:eastAsia="仿宋" w:cs="仿宋"/>
                <w:b/>
                <w:bCs/>
                <w:sz w:val="24"/>
                <w:szCs w:val="24"/>
                <w:highlight w:val="none"/>
              </w:rPr>
              <w:t>文件</w:t>
            </w:r>
            <w:r>
              <w:rPr>
                <w:rFonts w:hint="eastAsia" w:ascii="仿宋" w:hAnsi="仿宋" w:eastAsia="仿宋" w:cs="仿宋"/>
                <w:b/>
                <w:bCs/>
                <w:sz w:val="24"/>
                <w:szCs w:val="24"/>
                <w:highlight w:val="none"/>
                <w:lang w:eastAsia="zh-CN"/>
              </w:rPr>
              <w:t>要求</w:t>
            </w:r>
          </w:p>
        </w:tc>
        <w:tc>
          <w:tcPr>
            <w:tcW w:w="1475" w:type="pct"/>
            <w:noWrap w:val="0"/>
            <w:vAlign w:val="center"/>
          </w:tcPr>
          <w:p w14:paraId="513BDABE">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2"/>
                <w:szCs w:val="22"/>
                <w:highlight w:val="none"/>
                <w:lang w:eastAsia="zh-CN"/>
              </w:rPr>
            </w:pPr>
            <w:r>
              <w:rPr>
                <w:rFonts w:hint="eastAsia" w:ascii="仿宋" w:hAnsi="仿宋" w:eastAsia="仿宋" w:cs="仿宋"/>
                <w:b/>
                <w:bCs/>
                <w:sz w:val="24"/>
                <w:szCs w:val="24"/>
                <w:highlight w:val="none"/>
              </w:rPr>
              <w:t>响应</w:t>
            </w:r>
            <w:r>
              <w:rPr>
                <w:rFonts w:hint="eastAsia" w:ascii="仿宋" w:hAnsi="仿宋" w:eastAsia="仿宋" w:cs="仿宋"/>
                <w:b/>
                <w:bCs/>
                <w:sz w:val="24"/>
                <w:szCs w:val="24"/>
                <w:highlight w:val="none"/>
                <w:lang w:eastAsia="zh-CN"/>
              </w:rPr>
              <w:t>内容</w:t>
            </w:r>
          </w:p>
        </w:tc>
        <w:tc>
          <w:tcPr>
            <w:tcW w:w="1167" w:type="pct"/>
            <w:noWrap w:val="0"/>
            <w:vAlign w:val="center"/>
          </w:tcPr>
          <w:p w14:paraId="56E8CD53">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偏离情况</w:t>
            </w:r>
          </w:p>
        </w:tc>
      </w:tr>
      <w:tr w14:paraId="1A1B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56F4C664">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844" w:type="pct"/>
            <w:noWrap w:val="0"/>
            <w:vAlign w:val="center"/>
          </w:tcPr>
          <w:p w14:paraId="11424F54">
            <w:pPr>
              <w:pStyle w:val="54"/>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sz w:val="21"/>
                <w:szCs w:val="21"/>
                <w:highlight w:val="none"/>
              </w:rPr>
            </w:pPr>
          </w:p>
        </w:tc>
        <w:tc>
          <w:tcPr>
            <w:tcW w:w="1475" w:type="pct"/>
            <w:noWrap w:val="0"/>
            <w:vAlign w:val="center"/>
          </w:tcPr>
          <w:p w14:paraId="066826D1">
            <w:pPr>
              <w:pStyle w:val="54"/>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sz w:val="21"/>
                <w:szCs w:val="21"/>
                <w:highlight w:val="none"/>
              </w:rPr>
            </w:pPr>
          </w:p>
        </w:tc>
        <w:tc>
          <w:tcPr>
            <w:tcW w:w="1167" w:type="pct"/>
            <w:noWrap w:val="0"/>
            <w:vAlign w:val="center"/>
          </w:tcPr>
          <w:p w14:paraId="17CF9AD9">
            <w:pPr>
              <w:pStyle w:val="54"/>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sz w:val="21"/>
                <w:szCs w:val="21"/>
                <w:highlight w:val="none"/>
              </w:rPr>
            </w:pPr>
          </w:p>
        </w:tc>
      </w:tr>
      <w:tr w14:paraId="5CE0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6F9818AB">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844" w:type="pct"/>
            <w:noWrap w:val="0"/>
            <w:vAlign w:val="center"/>
          </w:tcPr>
          <w:p w14:paraId="20DC8FF7">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475" w:type="pct"/>
            <w:noWrap w:val="0"/>
            <w:vAlign w:val="center"/>
          </w:tcPr>
          <w:p w14:paraId="71C81F53">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167" w:type="pct"/>
            <w:noWrap w:val="0"/>
            <w:vAlign w:val="center"/>
          </w:tcPr>
          <w:p w14:paraId="3614AD98">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r>
      <w:tr w14:paraId="74C1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1AAE5628">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844" w:type="pct"/>
            <w:noWrap w:val="0"/>
            <w:vAlign w:val="center"/>
          </w:tcPr>
          <w:p w14:paraId="6DA7FBE8">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475" w:type="pct"/>
            <w:noWrap w:val="0"/>
            <w:vAlign w:val="center"/>
          </w:tcPr>
          <w:p w14:paraId="6E0910C8">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167" w:type="pct"/>
            <w:noWrap w:val="0"/>
            <w:vAlign w:val="center"/>
          </w:tcPr>
          <w:p w14:paraId="3C8AF33F">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r>
      <w:tr w14:paraId="49BE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3A7ED2D1">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844" w:type="pct"/>
            <w:noWrap w:val="0"/>
            <w:vAlign w:val="center"/>
          </w:tcPr>
          <w:p w14:paraId="570D9A62">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475" w:type="pct"/>
            <w:noWrap w:val="0"/>
            <w:vAlign w:val="center"/>
          </w:tcPr>
          <w:p w14:paraId="78EC3BD5">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167" w:type="pct"/>
            <w:noWrap w:val="0"/>
            <w:vAlign w:val="center"/>
          </w:tcPr>
          <w:p w14:paraId="53736BBE">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r>
      <w:tr w14:paraId="0BB0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50BF2296">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844" w:type="pct"/>
            <w:noWrap w:val="0"/>
            <w:vAlign w:val="center"/>
          </w:tcPr>
          <w:p w14:paraId="6C2CBFC7">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475" w:type="pct"/>
            <w:noWrap w:val="0"/>
            <w:vAlign w:val="center"/>
          </w:tcPr>
          <w:p w14:paraId="253A4524">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167" w:type="pct"/>
            <w:noWrap w:val="0"/>
            <w:vAlign w:val="center"/>
          </w:tcPr>
          <w:p w14:paraId="07BFE437">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r>
      <w:tr w14:paraId="1B5B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19BCC191">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844" w:type="pct"/>
            <w:noWrap w:val="0"/>
            <w:vAlign w:val="center"/>
          </w:tcPr>
          <w:p w14:paraId="75B4C8D8">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475" w:type="pct"/>
            <w:noWrap w:val="0"/>
            <w:vAlign w:val="center"/>
          </w:tcPr>
          <w:p w14:paraId="7F4077AB">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167" w:type="pct"/>
            <w:noWrap w:val="0"/>
            <w:vAlign w:val="center"/>
          </w:tcPr>
          <w:p w14:paraId="69FC9AF8">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r>
      <w:tr w14:paraId="193C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1F25193C">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844" w:type="pct"/>
            <w:noWrap w:val="0"/>
            <w:vAlign w:val="center"/>
          </w:tcPr>
          <w:p w14:paraId="48EB0B60">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475" w:type="pct"/>
            <w:noWrap w:val="0"/>
            <w:vAlign w:val="center"/>
          </w:tcPr>
          <w:p w14:paraId="610F5582">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167" w:type="pct"/>
            <w:noWrap w:val="0"/>
            <w:vAlign w:val="center"/>
          </w:tcPr>
          <w:p w14:paraId="53EA3164">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r>
      <w:tr w14:paraId="0157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12" w:type="pct"/>
            <w:noWrap w:val="0"/>
            <w:vAlign w:val="center"/>
          </w:tcPr>
          <w:p w14:paraId="649CF036">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844" w:type="pct"/>
            <w:noWrap w:val="0"/>
            <w:vAlign w:val="center"/>
          </w:tcPr>
          <w:p w14:paraId="786A1BA2">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475" w:type="pct"/>
            <w:noWrap w:val="0"/>
            <w:vAlign w:val="center"/>
          </w:tcPr>
          <w:p w14:paraId="01B0AD2D">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167" w:type="pct"/>
            <w:noWrap w:val="0"/>
            <w:vAlign w:val="center"/>
          </w:tcPr>
          <w:p w14:paraId="15ACA7CA">
            <w:pPr>
              <w:pStyle w:val="54"/>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r>
    </w:tbl>
    <w:p w14:paraId="3AEBE70D">
      <w:pPr>
        <w:keepNext w:val="0"/>
        <w:keepLines w:val="0"/>
        <w:pageBreakBefore w:val="0"/>
        <w:kinsoku/>
        <w:wordWrap/>
        <w:overflowPunct/>
        <w:topLinePunct w:val="0"/>
        <w:autoSpaceDE/>
        <w:autoSpaceDN/>
        <w:bidi w:val="0"/>
        <w:snapToGrid/>
        <w:ind w:firstLine="482" w:firstLineChars="200"/>
        <w:textAlignment w:val="auto"/>
        <w:outlineLvl w:val="9"/>
        <w:rPr>
          <w:rFonts w:ascii="仿宋" w:hAnsi="仿宋" w:eastAsia="仿宋"/>
          <w:b/>
          <w:sz w:val="24"/>
          <w:highlight w:val="none"/>
        </w:rPr>
      </w:pPr>
    </w:p>
    <w:p w14:paraId="3F39A6DC">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rPr>
      </w:pPr>
      <w:r>
        <w:rPr>
          <w:rFonts w:hint="eastAsia" w:ascii="仿宋" w:hAnsi="仿宋" w:eastAsia="仿宋"/>
          <w:b/>
          <w:bCs/>
          <w:sz w:val="24"/>
          <w:highlight w:val="none"/>
        </w:rPr>
        <w:t>注：</w:t>
      </w:r>
    </w:p>
    <w:p w14:paraId="57043A9E">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1.供应商根据磋商文件“第四章”“技术服务要求”的顺序，逐条对应填写；</w:t>
      </w:r>
    </w:p>
    <w:p w14:paraId="70A2DF45">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2.若无偏离，可在偏离情况中填“/”；若有偏离，需在偏离情况中进行说明；</w:t>
      </w:r>
    </w:p>
    <w:p w14:paraId="48953A15">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default" w:ascii="仿宋" w:hAnsi="仿宋" w:eastAsia="仿宋"/>
          <w:b/>
          <w:bCs/>
          <w:sz w:val="24"/>
          <w:highlight w:val="none"/>
          <w:lang w:val="en-US" w:eastAsia="zh-CN"/>
        </w:rPr>
      </w:pPr>
      <w:r>
        <w:rPr>
          <w:rFonts w:hint="eastAsia" w:ascii="仿宋" w:hAnsi="仿宋" w:eastAsia="仿宋"/>
          <w:b/>
          <w:bCs/>
          <w:sz w:val="24"/>
          <w:highlight w:val="none"/>
          <w:lang w:val="en-US" w:eastAsia="zh-CN"/>
        </w:rPr>
        <w:t>3.供应商必须据实填写，不得虚假响应，否则将取消成交资格。</w:t>
      </w:r>
    </w:p>
    <w:p w14:paraId="05870758">
      <w:pPr>
        <w:keepNext w:val="0"/>
        <w:keepLines w:val="0"/>
        <w:pageBreakBefore w:val="0"/>
        <w:kinsoku/>
        <w:wordWrap/>
        <w:overflowPunct/>
        <w:topLinePunct w:val="0"/>
        <w:autoSpaceDE/>
        <w:autoSpaceDN/>
        <w:bidi w:val="0"/>
        <w:adjustRightInd w:val="0"/>
        <w:snapToGrid/>
        <w:spacing w:line="400" w:lineRule="exact"/>
        <w:jc w:val="left"/>
        <w:textAlignment w:val="auto"/>
        <w:outlineLvl w:val="9"/>
        <w:rPr>
          <w:rFonts w:ascii="仿宋" w:hAnsi="仿宋" w:eastAsia="仿宋"/>
          <w:sz w:val="24"/>
          <w:highlight w:val="none"/>
        </w:rPr>
      </w:pPr>
    </w:p>
    <w:p w14:paraId="4C2F15C9">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供应商名称：XXXX（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09BA2F79">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14:paraId="69EB4C8B">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sz w:val="24"/>
          <w:highlight w:val="none"/>
        </w:rPr>
      </w:pPr>
      <w:r>
        <w:rPr>
          <w:rFonts w:hint="eastAsia" w:ascii="仿宋" w:hAnsi="仿宋" w:eastAsia="仿宋"/>
          <w:sz w:val="24"/>
          <w:highlight w:val="none"/>
        </w:rPr>
        <w:t>日    期：XXXX</w:t>
      </w:r>
    </w:p>
    <w:p w14:paraId="78FCCF82">
      <w:pPr>
        <w:rPr>
          <w:rFonts w:hint="eastAsia" w:ascii="仿宋" w:hAnsi="仿宋" w:eastAsia="仿宋"/>
          <w:b/>
          <w:sz w:val="32"/>
          <w:szCs w:val="32"/>
          <w:highlight w:val="none"/>
        </w:rPr>
      </w:pPr>
      <w:r>
        <w:rPr>
          <w:rFonts w:hint="eastAsia" w:ascii="仿宋" w:hAnsi="仿宋" w:eastAsia="仿宋"/>
          <w:b/>
          <w:sz w:val="32"/>
          <w:szCs w:val="32"/>
          <w:highlight w:val="none"/>
        </w:rPr>
        <w:br w:type="page"/>
      </w:r>
    </w:p>
    <w:p w14:paraId="267E7C41">
      <w:pPr>
        <w:pStyle w:val="14"/>
        <w:keepNext w:val="0"/>
        <w:keepLines w:val="0"/>
        <w:pageBreakBefore w:val="0"/>
        <w:tabs>
          <w:tab w:val="left" w:pos="0"/>
        </w:tabs>
        <w:kinsoku/>
        <w:wordWrap/>
        <w:overflowPunct/>
        <w:topLinePunct w:val="0"/>
        <w:autoSpaceDE/>
        <w:autoSpaceDN/>
        <w:bidi w:val="0"/>
        <w:snapToGrid/>
        <w:ind w:left="0" w:leftChars="0" w:firstLine="0" w:firstLineChars="0"/>
        <w:textAlignment w:val="auto"/>
        <w:outlineLvl w:val="9"/>
        <w:rPr>
          <w:rFonts w:hint="eastAsia" w:ascii="仿宋" w:hAnsi="仿宋" w:eastAsia="仿宋"/>
          <w:highlight w:val="none"/>
          <w:lang w:val="en-US" w:eastAsia="zh-CN"/>
        </w:rPr>
      </w:pPr>
      <w:r>
        <w:rPr>
          <w:rFonts w:hint="eastAsia" w:ascii="仿宋" w:hAnsi="仿宋" w:eastAsia="仿宋"/>
          <w:b/>
          <w:sz w:val="32"/>
          <w:szCs w:val="32"/>
          <w:highlight w:val="none"/>
        </w:rPr>
        <w:t>格式2-</w:t>
      </w:r>
      <w:r>
        <w:rPr>
          <w:rFonts w:hint="eastAsia" w:ascii="仿宋" w:hAnsi="仿宋" w:eastAsia="仿宋"/>
          <w:b/>
          <w:sz w:val="32"/>
          <w:szCs w:val="32"/>
          <w:highlight w:val="none"/>
          <w:lang w:val="en-US" w:eastAsia="zh-CN"/>
        </w:rPr>
        <w:t>5</w:t>
      </w:r>
    </w:p>
    <w:p w14:paraId="3C895CED">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outlineLvl w:val="9"/>
        <w:rPr>
          <w:rFonts w:hint="eastAsia" w:ascii="仿宋" w:hAnsi="仿宋" w:eastAsia="仿宋"/>
          <w:b/>
          <w:sz w:val="36"/>
          <w:szCs w:val="36"/>
          <w:highlight w:val="none"/>
          <w:lang w:eastAsia="zh-CN"/>
        </w:rPr>
      </w:pPr>
      <w:r>
        <w:rPr>
          <w:rFonts w:hint="eastAsia" w:ascii="仿宋" w:hAnsi="仿宋" w:eastAsia="仿宋"/>
          <w:b/>
          <w:sz w:val="36"/>
          <w:szCs w:val="36"/>
          <w:highlight w:val="none"/>
          <w:lang w:val="en-US" w:eastAsia="zh-CN"/>
        </w:rPr>
        <w:t>商务</w:t>
      </w:r>
      <w:r>
        <w:rPr>
          <w:rFonts w:hint="eastAsia" w:ascii="仿宋" w:hAnsi="仿宋" w:eastAsia="仿宋"/>
          <w:b/>
          <w:sz w:val="36"/>
          <w:szCs w:val="36"/>
          <w:highlight w:val="none"/>
          <w:lang w:eastAsia="zh-CN"/>
        </w:rPr>
        <w:t>要求应答表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3244"/>
        <w:gridCol w:w="2890"/>
        <w:gridCol w:w="1994"/>
      </w:tblGrid>
      <w:tr w14:paraId="3F5A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68" w:type="pct"/>
            <w:noWrap w:val="0"/>
            <w:vAlign w:val="center"/>
          </w:tcPr>
          <w:p w14:paraId="301492FE">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244" w:type="dxa"/>
            <w:noWrap w:val="0"/>
            <w:vAlign w:val="center"/>
          </w:tcPr>
          <w:p w14:paraId="3332663F">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szCs w:val="24"/>
                <w:highlight w:val="none"/>
                <w:lang w:eastAsia="zh-CN"/>
              </w:rPr>
              <w:t>磋商</w:t>
            </w:r>
            <w:r>
              <w:rPr>
                <w:rFonts w:hint="eastAsia" w:ascii="仿宋" w:hAnsi="仿宋" w:eastAsia="仿宋" w:cs="仿宋"/>
                <w:b/>
                <w:bCs/>
                <w:sz w:val="24"/>
                <w:szCs w:val="24"/>
                <w:highlight w:val="none"/>
              </w:rPr>
              <w:t>文件</w:t>
            </w:r>
            <w:r>
              <w:rPr>
                <w:rFonts w:hint="eastAsia" w:ascii="仿宋" w:hAnsi="仿宋" w:eastAsia="仿宋" w:cs="仿宋"/>
                <w:b/>
                <w:bCs/>
                <w:sz w:val="24"/>
                <w:szCs w:val="24"/>
                <w:highlight w:val="none"/>
                <w:lang w:eastAsia="zh-CN"/>
              </w:rPr>
              <w:t>要求</w:t>
            </w:r>
          </w:p>
        </w:tc>
        <w:tc>
          <w:tcPr>
            <w:tcW w:w="2889" w:type="dxa"/>
            <w:noWrap w:val="0"/>
            <w:vAlign w:val="center"/>
          </w:tcPr>
          <w:p w14:paraId="655CBACF">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4"/>
                <w:highlight w:val="none"/>
                <w:lang w:eastAsia="zh-CN"/>
              </w:rPr>
            </w:pPr>
            <w:r>
              <w:rPr>
                <w:rFonts w:hint="eastAsia" w:ascii="仿宋" w:hAnsi="仿宋" w:eastAsia="仿宋" w:cs="仿宋"/>
                <w:b/>
                <w:bCs/>
                <w:sz w:val="24"/>
                <w:szCs w:val="24"/>
                <w:highlight w:val="none"/>
              </w:rPr>
              <w:t>响应</w:t>
            </w:r>
            <w:r>
              <w:rPr>
                <w:rFonts w:hint="eastAsia" w:ascii="仿宋" w:hAnsi="仿宋" w:eastAsia="仿宋" w:cs="仿宋"/>
                <w:b/>
                <w:bCs/>
                <w:sz w:val="24"/>
                <w:szCs w:val="24"/>
                <w:highlight w:val="none"/>
                <w:lang w:eastAsia="zh-CN"/>
              </w:rPr>
              <w:t>内容</w:t>
            </w:r>
          </w:p>
        </w:tc>
        <w:tc>
          <w:tcPr>
            <w:tcW w:w="1087" w:type="pct"/>
            <w:noWrap w:val="0"/>
            <w:vAlign w:val="center"/>
          </w:tcPr>
          <w:p w14:paraId="3599A0F3">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偏离情况</w:t>
            </w:r>
          </w:p>
        </w:tc>
      </w:tr>
      <w:tr w14:paraId="3994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63C288D8">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4909D5D4">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4BFD877C">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1CCEAA39">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7AF6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330722DC">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07AD7A9E">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2F5AC494">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3D5C43C1">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2208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1FEFB6DD">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5929B981">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08ED59C6">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433CBE41">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2264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54B94ECB">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238829B6">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2CF9894E">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48E94138">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04EF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681EC0DD">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29109E7E">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3EBF0B92">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2B83E7E4">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611A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4B451FD8">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3E8079D9">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566E17FB">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46F7F764">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7E90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68" w:type="pct"/>
            <w:noWrap w:val="0"/>
            <w:vAlign w:val="top"/>
          </w:tcPr>
          <w:p w14:paraId="0EB8AAED">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43EA527E">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577A55B6">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2883CD9C">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bl>
    <w:p w14:paraId="600B9E6A">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rPr>
      </w:pPr>
      <w:r>
        <w:rPr>
          <w:rFonts w:hint="eastAsia" w:ascii="仿宋" w:hAnsi="仿宋" w:eastAsia="仿宋"/>
          <w:b/>
          <w:bCs/>
          <w:sz w:val="24"/>
          <w:highlight w:val="none"/>
        </w:rPr>
        <w:t>注：</w:t>
      </w:r>
    </w:p>
    <w:p w14:paraId="38269E6E">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1.供应商根据磋商文件“第四章”“商务要求”的顺序，逐条对应填写；</w:t>
      </w:r>
    </w:p>
    <w:p w14:paraId="55E14EE5">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2.若无偏离，可在偏离情况中填“/”；若有偏离，需在偏离情况中进行说明；</w:t>
      </w:r>
    </w:p>
    <w:p w14:paraId="5FAA2FF5">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default" w:ascii="仿宋" w:hAnsi="仿宋" w:eastAsia="仿宋"/>
          <w:b/>
          <w:bCs/>
          <w:sz w:val="24"/>
          <w:highlight w:val="none"/>
          <w:lang w:val="en-US" w:eastAsia="zh-CN"/>
        </w:rPr>
      </w:pPr>
      <w:r>
        <w:rPr>
          <w:rFonts w:hint="eastAsia" w:ascii="仿宋" w:hAnsi="仿宋" w:eastAsia="仿宋"/>
          <w:b/>
          <w:bCs/>
          <w:sz w:val="24"/>
          <w:highlight w:val="none"/>
          <w:lang w:val="en-US" w:eastAsia="zh-CN"/>
        </w:rPr>
        <w:t>3.供应商必须据实填写，不得虚假响应，否则将取消成交资格。</w:t>
      </w:r>
    </w:p>
    <w:p w14:paraId="4506F1C5">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sz w:val="24"/>
          <w:highlight w:val="none"/>
        </w:rPr>
      </w:pPr>
    </w:p>
    <w:p w14:paraId="2EEC8D25">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供应商名称：XXXX（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4E1FEA25">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14:paraId="41A5A2FB">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sz w:val="24"/>
          <w:highlight w:val="none"/>
        </w:rPr>
      </w:pPr>
      <w:r>
        <w:rPr>
          <w:rFonts w:hint="eastAsia" w:ascii="仿宋" w:hAnsi="仿宋" w:eastAsia="仿宋"/>
          <w:sz w:val="24"/>
          <w:highlight w:val="none"/>
        </w:rPr>
        <w:t>日    期：XXXX</w:t>
      </w:r>
    </w:p>
    <w:p w14:paraId="4DDEDC00">
      <w:pPr>
        <w:pStyle w:val="9"/>
        <w:rPr>
          <w:rFonts w:hint="eastAsia" w:ascii="仿宋" w:hAnsi="仿宋" w:eastAsia="仿宋"/>
          <w:sz w:val="24"/>
          <w:highlight w:val="none"/>
        </w:rPr>
      </w:pPr>
    </w:p>
    <w:p w14:paraId="52203634">
      <w:pPr>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br w:type="page"/>
      </w:r>
    </w:p>
    <w:p w14:paraId="433C7F96">
      <w:pPr>
        <w:keepNext w:val="0"/>
        <w:keepLines w:val="0"/>
        <w:pageBreakBefore w:val="0"/>
        <w:widowControl/>
        <w:kinsoku/>
        <w:wordWrap/>
        <w:overflowPunct/>
        <w:topLinePunct w:val="0"/>
        <w:autoSpaceDE/>
        <w:autoSpaceDN/>
        <w:bidi w:val="0"/>
        <w:snapToGrid/>
        <w:jc w:val="left"/>
        <w:textAlignment w:val="auto"/>
        <w:outlineLvl w:val="9"/>
        <w:rPr>
          <w:rFonts w:hint="default" w:ascii="仿宋" w:hAnsi="仿宋" w:eastAsia="仿宋"/>
          <w:sz w:val="24"/>
          <w:highlight w:val="none"/>
          <w:lang w:val="en-US"/>
        </w:rPr>
      </w:pPr>
      <w:r>
        <w:rPr>
          <w:rFonts w:hint="eastAsia" w:ascii="仿宋" w:hAnsi="仿宋" w:eastAsia="仿宋" w:cstheme="minorBidi"/>
          <w:b/>
          <w:kern w:val="2"/>
          <w:sz w:val="32"/>
          <w:szCs w:val="32"/>
          <w:highlight w:val="none"/>
          <w:lang w:val="en-US" w:eastAsia="zh-CN" w:bidi="ar-SA"/>
        </w:rPr>
        <w:t>格式2-6</w:t>
      </w:r>
    </w:p>
    <w:p w14:paraId="0F9A998C">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Arial"/>
          <w:b/>
          <w:bCs/>
          <w:sz w:val="32"/>
          <w:szCs w:val="32"/>
          <w:highlight w:val="none"/>
        </w:rPr>
      </w:pPr>
      <w:r>
        <w:rPr>
          <w:rFonts w:hint="eastAsia" w:ascii="仿宋" w:hAnsi="仿宋" w:eastAsia="仿宋" w:cs="Arial"/>
          <w:b/>
          <w:bCs/>
          <w:sz w:val="32"/>
          <w:szCs w:val="32"/>
          <w:highlight w:val="none"/>
        </w:rPr>
        <w:t>供应商类似项目业绩一览表</w:t>
      </w:r>
    </w:p>
    <w:p w14:paraId="54C293AF">
      <w:pPr>
        <w:pStyle w:val="32"/>
        <w:pageBreakBefore w:val="0"/>
        <w:kinsoku/>
        <w:wordWrap/>
        <w:overflowPunct/>
        <w:topLinePunct w:val="0"/>
        <w:autoSpaceDE/>
        <w:autoSpaceDN/>
        <w:bidi w:val="0"/>
        <w:snapToGrid/>
        <w:textAlignment w:val="auto"/>
        <w:outlineLvl w:val="9"/>
        <w:rPr>
          <w:rFonts w:hint="eastAsia"/>
          <w:highlight w:val="none"/>
        </w:rPr>
      </w:pPr>
    </w:p>
    <w:tbl>
      <w:tblPr>
        <w:tblStyle w:val="25"/>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7"/>
        <w:gridCol w:w="1608"/>
        <w:gridCol w:w="1377"/>
        <w:gridCol w:w="10"/>
      </w:tblGrid>
      <w:tr w14:paraId="53F657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578073D8">
            <w:pPr>
              <w:keepNext w:val="0"/>
              <w:keepLines w:val="0"/>
              <w:pageBreakBefore w:val="0"/>
              <w:kinsoku/>
              <w:wordWrap/>
              <w:overflowPunct/>
              <w:topLinePunct w:val="0"/>
              <w:autoSpaceDE/>
              <w:autoSpaceDN/>
              <w:bidi w:val="0"/>
              <w:snapToGrid/>
              <w:spacing w:line="400" w:lineRule="exact"/>
              <w:ind w:firstLine="105" w:firstLineChars="50"/>
              <w:jc w:val="center"/>
              <w:textAlignment w:val="auto"/>
              <w:outlineLvl w:val="9"/>
              <w:rPr>
                <w:rFonts w:ascii="仿宋" w:hAnsi="仿宋" w:eastAsia="仿宋" w:cs="Arial"/>
                <w:b/>
                <w:highlight w:val="none"/>
              </w:rPr>
            </w:pPr>
            <w:r>
              <w:rPr>
                <w:rFonts w:hint="eastAsia" w:ascii="仿宋" w:hAnsi="仿宋" w:eastAsia="仿宋" w:cs="Arial"/>
                <w:b/>
                <w:highlight w:val="none"/>
              </w:rPr>
              <w:t>年份</w:t>
            </w:r>
          </w:p>
        </w:tc>
        <w:tc>
          <w:tcPr>
            <w:tcW w:w="1439" w:type="dxa"/>
            <w:vAlign w:val="center"/>
          </w:tcPr>
          <w:p w14:paraId="6D036EF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highlight w:val="none"/>
              </w:rPr>
            </w:pPr>
            <w:r>
              <w:rPr>
                <w:rFonts w:hint="eastAsia" w:ascii="仿宋" w:hAnsi="仿宋" w:eastAsia="仿宋" w:cs="Arial"/>
                <w:b/>
                <w:highlight w:val="none"/>
              </w:rPr>
              <w:t>用户名称</w:t>
            </w:r>
          </w:p>
        </w:tc>
        <w:tc>
          <w:tcPr>
            <w:tcW w:w="1319" w:type="dxa"/>
            <w:vAlign w:val="center"/>
          </w:tcPr>
          <w:p w14:paraId="3D80614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highlight w:val="none"/>
              </w:rPr>
            </w:pPr>
            <w:r>
              <w:rPr>
                <w:rFonts w:ascii="仿宋" w:hAnsi="仿宋" w:eastAsia="仿宋" w:cs="Arial"/>
                <w:b/>
                <w:highlight w:val="none"/>
              </w:rPr>
              <w:t>项目名称</w:t>
            </w:r>
          </w:p>
        </w:tc>
        <w:tc>
          <w:tcPr>
            <w:tcW w:w="1160" w:type="dxa"/>
            <w:vAlign w:val="center"/>
          </w:tcPr>
          <w:p w14:paraId="3DD969FE">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highlight w:val="none"/>
              </w:rPr>
            </w:pPr>
            <w:r>
              <w:rPr>
                <w:rFonts w:ascii="仿宋" w:hAnsi="仿宋" w:eastAsia="仿宋" w:cs="Arial"/>
                <w:b/>
                <w:highlight w:val="none"/>
              </w:rPr>
              <w:t>完成时间</w:t>
            </w:r>
          </w:p>
        </w:tc>
        <w:tc>
          <w:tcPr>
            <w:tcW w:w="1427" w:type="dxa"/>
            <w:vAlign w:val="center"/>
          </w:tcPr>
          <w:p w14:paraId="1ECF6B86">
            <w:pPr>
              <w:keepNext w:val="0"/>
              <w:keepLines w:val="0"/>
              <w:pageBreakBefore w:val="0"/>
              <w:kinsoku/>
              <w:wordWrap/>
              <w:overflowPunct/>
              <w:topLinePunct w:val="0"/>
              <w:autoSpaceDE/>
              <w:autoSpaceDN/>
              <w:bidi w:val="0"/>
              <w:snapToGrid/>
              <w:spacing w:line="400" w:lineRule="exact"/>
              <w:ind w:firstLine="105" w:firstLineChars="50"/>
              <w:jc w:val="center"/>
              <w:textAlignment w:val="auto"/>
              <w:outlineLvl w:val="9"/>
              <w:rPr>
                <w:rFonts w:ascii="仿宋" w:hAnsi="仿宋" w:eastAsia="仿宋" w:cs="Arial"/>
                <w:b/>
                <w:highlight w:val="none"/>
              </w:rPr>
            </w:pPr>
            <w:r>
              <w:rPr>
                <w:rFonts w:ascii="仿宋" w:hAnsi="仿宋" w:eastAsia="仿宋" w:cs="Arial"/>
                <w:b/>
                <w:highlight w:val="none"/>
              </w:rPr>
              <w:t>合同金额</w:t>
            </w:r>
          </w:p>
        </w:tc>
        <w:tc>
          <w:tcPr>
            <w:tcW w:w="1608" w:type="dxa"/>
            <w:tcBorders>
              <w:right w:val="single" w:color="auto" w:sz="4" w:space="0"/>
            </w:tcBorders>
            <w:vAlign w:val="center"/>
          </w:tcPr>
          <w:p w14:paraId="102F7BB8">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highlight w:val="none"/>
              </w:rPr>
            </w:pPr>
            <w:r>
              <w:rPr>
                <w:rFonts w:hint="eastAsia" w:ascii="仿宋" w:hAnsi="仿宋" w:eastAsia="仿宋" w:cs="Arial"/>
                <w:b/>
                <w:highlight w:val="none"/>
              </w:rPr>
              <w:t>是否通过验收</w:t>
            </w:r>
          </w:p>
        </w:tc>
        <w:tc>
          <w:tcPr>
            <w:tcW w:w="1387" w:type="dxa"/>
            <w:gridSpan w:val="2"/>
            <w:tcBorders>
              <w:left w:val="single" w:color="auto" w:sz="4" w:space="0"/>
            </w:tcBorders>
            <w:vAlign w:val="center"/>
          </w:tcPr>
          <w:p w14:paraId="182F0428">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highlight w:val="none"/>
              </w:rPr>
            </w:pPr>
            <w:r>
              <w:rPr>
                <w:rFonts w:hint="eastAsia" w:ascii="仿宋" w:hAnsi="仿宋" w:eastAsia="仿宋" w:cs="Arial"/>
                <w:b/>
                <w:highlight w:val="none"/>
              </w:rPr>
              <w:t>备注</w:t>
            </w:r>
          </w:p>
        </w:tc>
      </w:tr>
      <w:tr w14:paraId="4F5E63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4BD1B09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vAlign w:val="center"/>
          </w:tcPr>
          <w:p w14:paraId="3E16F5E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vAlign w:val="center"/>
          </w:tcPr>
          <w:p w14:paraId="0AD1697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vAlign w:val="center"/>
          </w:tcPr>
          <w:p w14:paraId="5FBC2BE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vAlign w:val="center"/>
          </w:tcPr>
          <w:p w14:paraId="3E8E7F8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right w:val="single" w:color="auto" w:sz="4" w:space="0"/>
            </w:tcBorders>
            <w:vAlign w:val="center"/>
          </w:tcPr>
          <w:p w14:paraId="4C990D0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left w:val="single" w:color="auto" w:sz="4" w:space="0"/>
            </w:tcBorders>
            <w:vAlign w:val="center"/>
          </w:tcPr>
          <w:p w14:paraId="1E22CFA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13118D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F26AEF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vAlign w:val="center"/>
          </w:tcPr>
          <w:p w14:paraId="4B45568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vAlign w:val="center"/>
          </w:tcPr>
          <w:p w14:paraId="08973F98">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vAlign w:val="center"/>
          </w:tcPr>
          <w:p w14:paraId="1781641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vAlign w:val="center"/>
          </w:tcPr>
          <w:p w14:paraId="07C074D2">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right w:val="single" w:color="auto" w:sz="4" w:space="0"/>
            </w:tcBorders>
            <w:vAlign w:val="center"/>
          </w:tcPr>
          <w:p w14:paraId="7F18B91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left w:val="single" w:color="auto" w:sz="4" w:space="0"/>
            </w:tcBorders>
            <w:vAlign w:val="center"/>
          </w:tcPr>
          <w:p w14:paraId="634E5EC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0BD27A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69CF52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vAlign w:val="center"/>
          </w:tcPr>
          <w:p w14:paraId="2E49375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vAlign w:val="center"/>
          </w:tcPr>
          <w:p w14:paraId="6675F4F2">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vAlign w:val="center"/>
          </w:tcPr>
          <w:p w14:paraId="020A7B0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vAlign w:val="center"/>
          </w:tcPr>
          <w:p w14:paraId="49F25E0E">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right w:val="single" w:color="auto" w:sz="4" w:space="0"/>
            </w:tcBorders>
            <w:vAlign w:val="center"/>
          </w:tcPr>
          <w:p w14:paraId="11B8B98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left w:val="single" w:color="auto" w:sz="4" w:space="0"/>
            </w:tcBorders>
            <w:vAlign w:val="center"/>
          </w:tcPr>
          <w:p w14:paraId="610A657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561D1B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B04AD9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tcBorders>
              <w:right w:val="single" w:color="auto" w:sz="4" w:space="0"/>
            </w:tcBorders>
            <w:vAlign w:val="center"/>
          </w:tcPr>
          <w:p w14:paraId="6D4970FE">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tcBorders>
              <w:left w:val="single" w:color="auto" w:sz="4" w:space="0"/>
            </w:tcBorders>
            <w:vAlign w:val="center"/>
          </w:tcPr>
          <w:p w14:paraId="3DBD61D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vAlign w:val="center"/>
          </w:tcPr>
          <w:p w14:paraId="259AB1C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vAlign w:val="center"/>
          </w:tcPr>
          <w:p w14:paraId="63DF856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right w:val="single" w:color="auto" w:sz="4" w:space="0"/>
            </w:tcBorders>
            <w:vAlign w:val="center"/>
          </w:tcPr>
          <w:p w14:paraId="3D142BB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left w:val="single" w:color="auto" w:sz="4" w:space="0"/>
            </w:tcBorders>
            <w:vAlign w:val="center"/>
          </w:tcPr>
          <w:p w14:paraId="2AE539F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43386E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59E73319">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439" w:type="dxa"/>
            <w:tcBorders>
              <w:left w:val="single" w:color="auto" w:sz="4" w:space="0"/>
              <w:right w:val="single" w:color="auto" w:sz="4" w:space="0"/>
            </w:tcBorders>
            <w:vAlign w:val="center"/>
          </w:tcPr>
          <w:p w14:paraId="01C90D66">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319" w:type="dxa"/>
            <w:tcBorders>
              <w:left w:val="single" w:color="auto" w:sz="4" w:space="0"/>
              <w:right w:val="single" w:color="auto" w:sz="4" w:space="0"/>
            </w:tcBorders>
            <w:vAlign w:val="center"/>
          </w:tcPr>
          <w:p w14:paraId="00EFAC89">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160" w:type="dxa"/>
            <w:tcBorders>
              <w:left w:val="single" w:color="auto" w:sz="4" w:space="0"/>
              <w:right w:val="single" w:color="auto" w:sz="4" w:space="0"/>
            </w:tcBorders>
            <w:vAlign w:val="center"/>
          </w:tcPr>
          <w:p w14:paraId="746BD00C">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427" w:type="dxa"/>
            <w:tcBorders>
              <w:left w:val="single" w:color="auto" w:sz="4" w:space="0"/>
              <w:right w:val="single" w:color="auto" w:sz="4" w:space="0"/>
            </w:tcBorders>
            <w:vAlign w:val="center"/>
          </w:tcPr>
          <w:p w14:paraId="02939729">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608" w:type="dxa"/>
            <w:tcBorders>
              <w:left w:val="single" w:color="auto" w:sz="4" w:space="0"/>
              <w:right w:val="single" w:color="auto" w:sz="4" w:space="0"/>
            </w:tcBorders>
            <w:vAlign w:val="center"/>
          </w:tcPr>
          <w:p w14:paraId="45ACB54B">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377" w:type="dxa"/>
            <w:tcBorders>
              <w:left w:val="single" w:color="auto" w:sz="4" w:space="0"/>
            </w:tcBorders>
            <w:vAlign w:val="center"/>
          </w:tcPr>
          <w:p w14:paraId="4BD7F6C9">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r>
      <w:tr w14:paraId="534875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F9A4259">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439" w:type="dxa"/>
            <w:vAlign w:val="center"/>
          </w:tcPr>
          <w:p w14:paraId="72FD847B">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319" w:type="dxa"/>
            <w:vAlign w:val="center"/>
          </w:tcPr>
          <w:p w14:paraId="057AD73D">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160" w:type="dxa"/>
            <w:vAlign w:val="center"/>
          </w:tcPr>
          <w:p w14:paraId="2EBDC3F7">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427" w:type="dxa"/>
            <w:tcBorders>
              <w:right w:val="single" w:color="auto" w:sz="4" w:space="0"/>
            </w:tcBorders>
            <w:vAlign w:val="center"/>
          </w:tcPr>
          <w:p w14:paraId="5793C3AF">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608" w:type="dxa"/>
            <w:tcBorders>
              <w:left w:val="single" w:color="auto" w:sz="4" w:space="0"/>
              <w:right w:val="single" w:color="auto" w:sz="4" w:space="0"/>
            </w:tcBorders>
            <w:vAlign w:val="center"/>
          </w:tcPr>
          <w:p w14:paraId="7974DB04">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387" w:type="dxa"/>
            <w:gridSpan w:val="2"/>
            <w:tcBorders>
              <w:left w:val="single" w:color="auto" w:sz="4" w:space="0"/>
            </w:tcBorders>
            <w:vAlign w:val="center"/>
          </w:tcPr>
          <w:p w14:paraId="25D74AB8">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r>
      <w:tr w14:paraId="472A0B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2C47B3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vAlign w:val="center"/>
          </w:tcPr>
          <w:p w14:paraId="19740CF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vAlign w:val="center"/>
          </w:tcPr>
          <w:p w14:paraId="6CE398D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vAlign w:val="center"/>
          </w:tcPr>
          <w:p w14:paraId="71C8BCBE">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tcBorders>
              <w:right w:val="single" w:color="auto" w:sz="4" w:space="0"/>
            </w:tcBorders>
            <w:vAlign w:val="center"/>
          </w:tcPr>
          <w:p w14:paraId="29121D4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left w:val="single" w:color="auto" w:sz="4" w:space="0"/>
              <w:right w:val="single" w:color="auto" w:sz="4" w:space="0"/>
            </w:tcBorders>
            <w:vAlign w:val="center"/>
          </w:tcPr>
          <w:p w14:paraId="2397B77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left w:val="single" w:color="auto" w:sz="4" w:space="0"/>
            </w:tcBorders>
            <w:vAlign w:val="center"/>
          </w:tcPr>
          <w:p w14:paraId="00C9C00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1BC140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65FBB0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vAlign w:val="center"/>
          </w:tcPr>
          <w:p w14:paraId="34E9D75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vAlign w:val="center"/>
          </w:tcPr>
          <w:p w14:paraId="751471A8">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vAlign w:val="center"/>
          </w:tcPr>
          <w:p w14:paraId="6524F1A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tcBorders>
              <w:right w:val="single" w:color="auto" w:sz="4" w:space="0"/>
            </w:tcBorders>
            <w:vAlign w:val="center"/>
          </w:tcPr>
          <w:p w14:paraId="032BF82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left w:val="single" w:color="auto" w:sz="4" w:space="0"/>
              <w:right w:val="single" w:color="auto" w:sz="4" w:space="0"/>
            </w:tcBorders>
            <w:vAlign w:val="center"/>
          </w:tcPr>
          <w:p w14:paraId="18E01B2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left w:val="single" w:color="auto" w:sz="4" w:space="0"/>
            </w:tcBorders>
            <w:vAlign w:val="center"/>
          </w:tcPr>
          <w:p w14:paraId="595076F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3641AD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34FED86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tcBorders>
              <w:bottom w:val="single" w:color="auto" w:sz="4" w:space="0"/>
            </w:tcBorders>
            <w:vAlign w:val="center"/>
          </w:tcPr>
          <w:p w14:paraId="0F50451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tcBorders>
              <w:bottom w:val="single" w:color="auto" w:sz="4" w:space="0"/>
            </w:tcBorders>
            <w:vAlign w:val="center"/>
          </w:tcPr>
          <w:p w14:paraId="274D14A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tcBorders>
              <w:bottom w:val="single" w:color="auto" w:sz="4" w:space="0"/>
            </w:tcBorders>
            <w:vAlign w:val="center"/>
          </w:tcPr>
          <w:p w14:paraId="47FFE76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tcBorders>
              <w:bottom w:val="single" w:color="auto" w:sz="4" w:space="0"/>
              <w:right w:val="single" w:color="auto" w:sz="4" w:space="0"/>
            </w:tcBorders>
            <w:vAlign w:val="center"/>
          </w:tcPr>
          <w:p w14:paraId="1C51B39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left w:val="single" w:color="auto" w:sz="4" w:space="0"/>
              <w:bottom w:val="single" w:color="auto" w:sz="4" w:space="0"/>
              <w:right w:val="single" w:color="auto" w:sz="4" w:space="0"/>
            </w:tcBorders>
            <w:vAlign w:val="center"/>
          </w:tcPr>
          <w:p w14:paraId="6693DE3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left w:val="single" w:color="auto" w:sz="4" w:space="0"/>
              <w:bottom w:val="single" w:color="auto" w:sz="4" w:space="0"/>
            </w:tcBorders>
            <w:vAlign w:val="center"/>
          </w:tcPr>
          <w:p w14:paraId="22F99E1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71987F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318EA5E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tcBorders>
              <w:top w:val="single" w:color="auto" w:sz="4" w:space="0"/>
              <w:bottom w:val="single" w:color="auto" w:sz="4" w:space="0"/>
            </w:tcBorders>
            <w:vAlign w:val="center"/>
          </w:tcPr>
          <w:p w14:paraId="06428D64">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tcBorders>
              <w:top w:val="single" w:color="auto" w:sz="4" w:space="0"/>
              <w:bottom w:val="single" w:color="auto" w:sz="4" w:space="0"/>
            </w:tcBorders>
            <w:vAlign w:val="center"/>
          </w:tcPr>
          <w:p w14:paraId="4460CBB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tcBorders>
              <w:top w:val="single" w:color="auto" w:sz="4" w:space="0"/>
              <w:bottom w:val="single" w:color="auto" w:sz="4" w:space="0"/>
            </w:tcBorders>
            <w:vAlign w:val="center"/>
          </w:tcPr>
          <w:p w14:paraId="0AD6E93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tcBorders>
              <w:top w:val="single" w:color="auto" w:sz="4" w:space="0"/>
              <w:bottom w:val="single" w:color="auto" w:sz="4" w:space="0"/>
              <w:right w:val="single" w:color="auto" w:sz="4" w:space="0"/>
            </w:tcBorders>
            <w:vAlign w:val="center"/>
          </w:tcPr>
          <w:p w14:paraId="164C3E12">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14:paraId="768461E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top w:val="single" w:color="auto" w:sz="4" w:space="0"/>
              <w:left w:val="single" w:color="auto" w:sz="4" w:space="0"/>
              <w:bottom w:val="single" w:color="auto" w:sz="4" w:space="0"/>
            </w:tcBorders>
            <w:vAlign w:val="center"/>
          </w:tcPr>
          <w:p w14:paraId="0B650A9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548669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0EEF758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tcBorders>
              <w:top w:val="single" w:color="auto" w:sz="4" w:space="0"/>
              <w:bottom w:val="single" w:color="auto" w:sz="4" w:space="0"/>
            </w:tcBorders>
            <w:vAlign w:val="center"/>
          </w:tcPr>
          <w:p w14:paraId="41FE393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tcBorders>
              <w:top w:val="single" w:color="auto" w:sz="4" w:space="0"/>
              <w:bottom w:val="single" w:color="auto" w:sz="4" w:space="0"/>
            </w:tcBorders>
            <w:vAlign w:val="center"/>
          </w:tcPr>
          <w:p w14:paraId="17795C7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tcBorders>
              <w:top w:val="single" w:color="auto" w:sz="4" w:space="0"/>
              <w:bottom w:val="single" w:color="auto" w:sz="4" w:space="0"/>
            </w:tcBorders>
            <w:vAlign w:val="center"/>
          </w:tcPr>
          <w:p w14:paraId="7651C79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tcBorders>
              <w:top w:val="single" w:color="auto" w:sz="4" w:space="0"/>
              <w:bottom w:val="single" w:color="auto" w:sz="4" w:space="0"/>
              <w:right w:val="single" w:color="auto" w:sz="4" w:space="0"/>
            </w:tcBorders>
            <w:vAlign w:val="center"/>
          </w:tcPr>
          <w:p w14:paraId="4F3501F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14:paraId="5062CAF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top w:val="single" w:color="auto" w:sz="4" w:space="0"/>
              <w:left w:val="single" w:color="auto" w:sz="4" w:space="0"/>
              <w:bottom w:val="single" w:color="auto" w:sz="4" w:space="0"/>
            </w:tcBorders>
            <w:vAlign w:val="center"/>
          </w:tcPr>
          <w:p w14:paraId="5569600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0E2BE1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49018F5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tcBorders>
              <w:top w:val="single" w:color="auto" w:sz="4" w:space="0"/>
              <w:bottom w:val="single" w:color="auto" w:sz="4" w:space="0"/>
            </w:tcBorders>
            <w:vAlign w:val="center"/>
          </w:tcPr>
          <w:p w14:paraId="1A21B87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tcBorders>
              <w:top w:val="single" w:color="auto" w:sz="4" w:space="0"/>
              <w:bottom w:val="single" w:color="auto" w:sz="4" w:space="0"/>
            </w:tcBorders>
            <w:vAlign w:val="center"/>
          </w:tcPr>
          <w:p w14:paraId="3E78AF8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tcBorders>
              <w:top w:val="single" w:color="auto" w:sz="4" w:space="0"/>
              <w:bottom w:val="single" w:color="auto" w:sz="4" w:space="0"/>
            </w:tcBorders>
            <w:vAlign w:val="center"/>
          </w:tcPr>
          <w:p w14:paraId="31F6AFF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tcBorders>
              <w:top w:val="single" w:color="auto" w:sz="4" w:space="0"/>
              <w:bottom w:val="single" w:color="auto" w:sz="4" w:space="0"/>
              <w:right w:val="single" w:color="auto" w:sz="4" w:space="0"/>
            </w:tcBorders>
            <w:vAlign w:val="center"/>
          </w:tcPr>
          <w:p w14:paraId="34809DD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14:paraId="31D654C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top w:val="single" w:color="auto" w:sz="4" w:space="0"/>
              <w:left w:val="single" w:color="auto" w:sz="4" w:space="0"/>
              <w:bottom w:val="single" w:color="auto" w:sz="4" w:space="0"/>
            </w:tcBorders>
            <w:vAlign w:val="center"/>
          </w:tcPr>
          <w:p w14:paraId="20CF190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3DF5B0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09150B8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tcBorders>
              <w:top w:val="single" w:color="auto" w:sz="4" w:space="0"/>
            </w:tcBorders>
            <w:vAlign w:val="center"/>
          </w:tcPr>
          <w:p w14:paraId="7CC50FB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tcBorders>
              <w:top w:val="single" w:color="auto" w:sz="4" w:space="0"/>
            </w:tcBorders>
            <w:vAlign w:val="center"/>
          </w:tcPr>
          <w:p w14:paraId="24EC152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tcBorders>
              <w:top w:val="single" w:color="auto" w:sz="4" w:space="0"/>
            </w:tcBorders>
            <w:vAlign w:val="center"/>
          </w:tcPr>
          <w:p w14:paraId="1A867B8E">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tcBorders>
              <w:top w:val="single" w:color="auto" w:sz="4" w:space="0"/>
              <w:right w:val="single" w:color="auto" w:sz="4" w:space="0"/>
            </w:tcBorders>
            <w:vAlign w:val="center"/>
          </w:tcPr>
          <w:p w14:paraId="25C7332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top w:val="single" w:color="auto" w:sz="4" w:space="0"/>
              <w:left w:val="single" w:color="auto" w:sz="4" w:space="0"/>
              <w:right w:val="single" w:color="auto" w:sz="4" w:space="0"/>
            </w:tcBorders>
            <w:vAlign w:val="center"/>
          </w:tcPr>
          <w:p w14:paraId="21B650E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top w:val="single" w:color="auto" w:sz="4" w:space="0"/>
              <w:left w:val="single" w:color="auto" w:sz="4" w:space="0"/>
            </w:tcBorders>
            <w:vAlign w:val="center"/>
          </w:tcPr>
          <w:p w14:paraId="436B03C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bl>
    <w:p w14:paraId="3CBBF8E7">
      <w:pPr>
        <w:keepNext w:val="0"/>
        <w:keepLines w:val="0"/>
        <w:pageBreakBefore w:val="0"/>
        <w:widowControl/>
        <w:kinsoku/>
        <w:wordWrap/>
        <w:overflowPunct/>
        <w:topLinePunct w:val="0"/>
        <w:autoSpaceDE/>
        <w:autoSpaceDN/>
        <w:bidi w:val="0"/>
        <w:snapToGrid/>
        <w:spacing w:line="360" w:lineRule="atLeast"/>
        <w:ind w:firstLine="470" w:firstLineChars="196"/>
        <w:jc w:val="left"/>
        <w:textAlignment w:val="auto"/>
        <w:outlineLvl w:val="9"/>
        <w:rPr>
          <w:rFonts w:ascii="仿宋" w:hAnsi="仿宋" w:eastAsia="仿宋" w:cs="Arial"/>
          <w:sz w:val="24"/>
          <w:highlight w:val="none"/>
        </w:rPr>
      </w:pPr>
    </w:p>
    <w:p w14:paraId="53BE6B88">
      <w:pPr>
        <w:keepNext w:val="0"/>
        <w:keepLines w:val="0"/>
        <w:pageBreakBefore w:val="0"/>
        <w:widowControl/>
        <w:kinsoku/>
        <w:wordWrap/>
        <w:overflowPunct/>
        <w:topLinePunct w:val="0"/>
        <w:autoSpaceDE/>
        <w:autoSpaceDN/>
        <w:bidi w:val="0"/>
        <w:snapToGrid/>
        <w:spacing w:line="360" w:lineRule="atLeast"/>
        <w:ind w:firstLine="470" w:firstLineChars="196"/>
        <w:jc w:val="left"/>
        <w:textAlignment w:val="auto"/>
        <w:outlineLvl w:val="9"/>
        <w:rPr>
          <w:rFonts w:ascii="仿宋" w:hAnsi="仿宋" w:eastAsia="仿宋"/>
          <w:sz w:val="24"/>
          <w:highlight w:val="none"/>
        </w:rPr>
      </w:pPr>
      <w:r>
        <w:rPr>
          <w:rFonts w:hint="eastAsia" w:ascii="仿宋" w:hAnsi="仿宋" w:eastAsia="仿宋" w:cs="Arial"/>
          <w:sz w:val="24"/>
          <w:highlight w:val="none"/>
        </w:rPr>
        <w:t>注：</w:t>
      </w:r>
      <w:r>
        <w:rPr>
          <w:rFonts w:hint="eastAsia" w:ascii="仿宋" w:hAnsi="仿宋" w:eastAsia="仿宋"/>
          <w:sz w:val="24"/>
          <w:highlight w:val="none"/>
        </w:rPr>
        <w:t>以上业绩需提供</w:t>
      </w:r>
      <w:r>
        <w:rPr>
          <w:rFonts w:hint="eastAsia" w:ascii="仿宋" w:hAnsi="仿宋" w:eastAsia="仿宋"/>
          <w:sz w:val="24"/>
          <w:highlight w:val="none"/>
          <w:lang w:eastAsia="zh-CN"/>
        </w:rPr>
        <w:t>磋商</w:t>
      </w:r>
      <w:r>
        <w:rPr>
          <w:rFonts w:hint="eastAsia" w:ascii="仿宋" w:hAnsi="仿宋" w:eastAsia="仿宋"/>
          <w:sz w:val="24"/>
          <w:highlight w:val="none"/>
        </w:rPr>
        <w:t>文件要求的有关书面证明材料。</w:t>
      </w:r>
    </w:p>
    <w:p w14:paraId="33F1032B">
      <w:pPr>
        <w:keepNext w:val="0"/>
        <w:keepLines w:val="0"/>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snapToGrid/>
        <w:spacing w:line="400" w:lineRule="exact"/>
        <w:ind w:firstLine="480" w:firstLineChars="200"/>
        <w:textAlignment w:val="auto"/>
        <w:outlineLvl w:val="9"/>
        <w:rPr>
          <w:rFonts w:ascii="仿宋" w:hAnsi="仿宋" w:eastAsia="仿宋" w:cs="Arial"/>
          <w:sz w:val="24"/>
          <w:highlight w:val="none"/>
        </w:rPr>
      </w:pPr>
    </w:p>
    <w:p w14:paraId="73B7DEDD">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供应商名称：XXXX（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1DAB8B0A">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14:paraId="7375537D">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日    期：XXXX</w:t>
      </w:r>
    </w:p>
    <w:p w14:paraId="2E8A2E57">
      <w:pPr>
        <w:keepNext w:val="0"/>
        <w:keepLines w:val="0"/>
        <w:pageBreakBefore w:val="0"/>
        <w:widowControl/>
        <w:kinsoku/>
        <w:wordWrap/>
        <w:overflowPunct/>
        <w:topLinePunct w:val="0"/>
        <w:autoSpaceDE/>
        <w:autoSpaceDN/>
        <w:bidi w:val="0"/>
        <w:snapToGrid/>
        <w:jc w:val="left"/>
        <w:textAlignment w:val="auto"/>
        <w:outlineLvl w:val="9"/>
        <w:rPr>
          <w:rFonts w:ascii="仿宋" w:hAnsi="仿宋" w:eastAsia="仿宋"/>
          <w:sz w:val="24"/>
          <w:highlight w:val="none"/>
        </w:rPr>
      </w:pPr>
      <w:r>
        <w:rPr>
          <w:rFonts w:ascii="仿宋" w:hAnsi="仿宋" w:eastAsia="仿宋"/>
          <w:sz w:val="24"/>
          <w:highlight w:val="none"/>
        </w:rPr>
        <w:br w:type="page"/>
      </w:r>
    </w:p>
    <w:p w14:paraId="36F6AD8F">
      <w:pPr>
        <w:pStyle w:val="14"/>
        <w:keepNext w:val="0"/>
        <w:keepLines w:val="0"/>
        <w:pageBreakBefore w:val="0"/>
        <w:tabs>
          <w:tab w:val="left" w:pos="0"/>
        </w:tabs>
        <w:kinsoku/>
        <w:wordWrap/>
        <w:overflowPunct/>
        <w:topLinePunct w:val="0"/>
        <w:autoSpaceDE/>
        <w:autoSpaceDN/>
        <w:bidi w:val="0"/>
        <w:snapToGrid/>
        <w:ind w:left="0" w:leftChars="0" w:firstLine="0" w:firstLineChars="0"/>
        <w:textAlignment w:val="auto"/>
        <w:outlineLvl w:val="9"/>
        <w:rPr>
          <w:rFonts w:hint="eastAsia" w:ascii="仿宋" w:hAnsi="仿宋" w:eastAsia="仿宋"/>
          <w:b/>
          <w:sz w:val="32"/>
          <w:szCs w:val="32"/>
          <w:highlight w:val="none"/>
          <w:lang w:val="en-US" w:eastAsia="zh-CN"/>
        </w:rPr>
      </w:pPr>
      <w:r>
        <w:rPr>
          <w:rFonts w:hint="eastAsia" w:ascii="仿宋" w:hAnsi="仿宋" w:eastAsia="仿宋"/>
          <w:b/>
          <w:sz w:val="32"/>
          <w:szCs w:val="32"/>
          <w:highlight w:val="none"/>
        </w:rPr>
        <w:t>格式2-</w:t>
      </w:r>
      <w:r>
        <w:rPr>
          <w:rFonts w:hint="eastAsia" w:ascii="仿宋" w:hAnsi="仿宋" w:eastAsia="仿宋"/>
          <w:b/>
          <w:sz w:val="32"/>
          <w:szCs w:val="32"/>
          <w:highlight w:val="none"/>
          <w:lang w:val="en-US" w:eastAsia="zh-CN"/>
        </w:rPr>
        <w:t>7</w:t>
      </w:r>
    </w:p>
    <w:p w14:paraId="11E14BAE">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b/>
          <w:sz w:val="32"/>
          <w:szCs w:val="32"/>
          <w:highlight w:val="none"/>
        </w:rPr>
      </w:pPr>
      <w:r>
        <w:rPr>
          <w:rFonts w:hint="eastAsia" w:ascii="仿宋" w:hAnsi="仿宋" w:eastAsia="仿宋"/>
          <w:b/>
          <w:sz w:val="32"/>
          <w:szCs w:val="32"/>
          <w:highlight w:val="none"/>
        </w:rPr>
        <w:t>供应商本项目管理、技术、服务人员情况表</w:t>
      </w:r>
    </w:p>
    <w:p w14:paraId="30323CD1">
      <w:pPr>
        <w:pStyle w:val="9"/>
        <w:keepNext w:val="0"/>
        <w:keepLines w:val="0"/>
        <w:pageBreakBefore w:val="0"/>
        <w:kinsoku/>
        <w:wordWrap/>
        <w:overflowPunct/>
        <w:topLinePunct w:val="0"/>
        <w:autoSpaceDE/>
        <w:autoSpaceDN/>
        <w:bidi w:val="0"/>
        <w:snapToGrid/>
        <w:textAlignment w:val="auto"/>
        <w:outlineLvl w:val="9"/>
        <w:rPr>
          <w:b w:val="0"/>
          <w:bCs w:val="0"/>
          <w:highlight w:val="none"/>
        </w:rPr>
      </w:pPr>
    </w:p>
    <w:tbl>
      <w:tblPr>
        <w:tblStyle w:val="25"/>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988"/>
        <w:gridCol w:w="988"/>
        <w:gridCol w:w="988"/>
        <w:gridCol w:w="988"/>
        <w:gridCol w:w="988"/>
        <w:gridCol w:w="988"/>
        <w:gridCol w:w="988"/>
        <w:gridCol w:w="993"/>
      </w:tblGrid>
      <w:tr w14:paraId="3E8A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restart"/>
            <w:vAlign w:val="center"/>
          </w:tcPr>
          <w:p w14:paraId="406ACD81">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类别</w:t>
            </w:r>
          </w:p>
        </w:tc>
        <w:tc>
          <w:tcPr>
            <w:tcW w:w="988" w:type="dxa"/>
            <w:vMerge w:val="restart"/>
            <w:vAlign w:val="center"/>
          </w:tcPr>
          <w:p w14:paraId="61AB62FC">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职务</w:t>
            </w:r>
          </w:p>
        </w:tc>
        <w:tc>
          <w:tcPr>
            <w:tcW w:w="988" w:type="dxa"/>
            <w:vMerge w:val="restart"/>
            <w:vAlign w:val="center"/>
          </w:tcPr>
          <w:p w14:paraId="49DBF434">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姓名</w:t>
            </w:r>
          </w:p>
        </w:tc>
        <w:tc>
          <w:tcPr>
            <w:tcW w:w="988" w:type="dxa"/>
            <w:vMerge w:val="restart"/>
            <w:vAlign w:val="center"/>
          </w:tcPr>
          <w:p w14:paraId="7349341D">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职称</w:t>
            </w:r>
          </w:p>
        </w:tc>
        <w:tc>
          <w:tcPr>
            <w:tcW w:w="988" w:type="dxa"/>
            <w:vMerge w:val="restart"/>
            <w:vAlign w:val="center"/>
          </w:tcPr>
          <w:p w14:paraId="7A5A953F">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常住地</w:t>
            </w:r>
          </w:p>
        </w:tc>
        <w:tc>
          <w:tcPr>
            <w:tcW w:w="3957" w:type="dxa"/>
            <w:gridSpan w:val="4"/>
            <w:vAlign w:val="center"/>
          </w:tcPr>
          <w:p w14:paraId="2EB26B47">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资格证明（附复印件）</w:t>
            </w:r>
          </w:p>
        </w:tc>
      </w:tr>
      <w:tr w14:paraId="127E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987" w:type="dxa"/>
            <w:vMerge w:val="continue"/>
            <w:vAlign w:val="center"/>
          </w:tcPr>
          <w:p w14:paraId="2E2E50C8">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vMerge w:val="continue"/>
            <w:vAlign w:val="center"/>
          </w:tcPr>
          <w:p w14:paraId="025AED28">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vMerge w:val="continue"/>
            <w:vAlign w:val="center"/>
          </w:tcPr>
          <w:p w14:paraId="3EDA97BD">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vMerge w:val="continue"/>
            <w:vAlign w:val="center"/>
          </w:tcPr>
          <w:p w14:paraId="34697217">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vMerge w:val="continue"/>
            <w:vAlign w:val="center"/>
          </w:tcPr>
          <w:p w14:paraId="64312192">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vAlign w:val="center"/>
          </w:tcPr>
          <w:p w14:paraId="38B4D8F6">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证书</w:t>
            </w:r>
          </w:p>
          <w:p w14:paraId="7AEB352B">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名称</w:t>
            </w:r>
          </w:p>
        </w:tc>
        <w:tc>
          <w:tcPr>
            <w:tcW w:w="988" w:type="dxa"/>
            <w:vAlign w:val="center"/>
          </w:tcPr>
          <w:p w14:paraId="1B101015">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级别</w:t>
            </w:r>
          </w:p>
        </w:tc>
        <w:tc>
          <w:tcPr>
            <w:tcW w:w="988" w:type="dxa"/>
            <w:vAlign w:val="center"/>
          </w:tcPr>
          <w:p w14:paraId="4D41C44C">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证号</w:t>
            </w:r>
          </w:p>
        </w:tc>
        <w:tc>
          <w:tcPr>
            <w:tcW w:w="993" w:type="dxa"/>
            <w:vAlign w:val="center"/>
          </w:tcPr>
          <w:p w14:paraId="665BBE04">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专业</w:t>
            </w:r>
          </w:p>
        </w:tc>
      </w:tr>
      <w:tr w14:paraId="4921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restart"/>
            <w:vAlign w:val="center"/>
          </w:tcPr>
          <w:p w14:paraId="1BF98492">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管理</w:t>
            </w:r>
          </w:p>
          <w:p w14:paraId="3854091A">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人员</w:t>
            </w:r>
          </w:p>
        </w:tc>
        <w:tc>
          <w:tcPr>
            <w:tcW w:w="988" w:type="dxa"/>
          </w:tcPr>
          <w:p w14:paraId="7E46B3CD">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71A2C72">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64837A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6FAD4B4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4751114A">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153EDDDD">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12EA4BE">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6FF95E0E">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r w14:paraId="600E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vAlign w:val="center"/>
          </w:tcPr>
          <w:p w14:paraId="289EC5EA">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tcPr>
          <w:p w14:paraId="70F09595">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4F4553B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DFEAC2E">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3777872">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1B034915">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1F3E9615">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13843AAD">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2B11FCD3">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r w14:paraId="7DE8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vAlign w:val="center"/>
          </w:tcPr>
          <w:p w14:paraId="15BDF7E9">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tcPr>
          <w:p w14:paraId="59952268">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11FEF4C0">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363C421">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0948D506">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7C5FAEDD">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1B7D19B2">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E7F3A8A">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60D60776">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r w14:paraId="0E54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restart"/>
            <w:vAlign w:val="center"/>
          </w:tcPr>
          <w:p w14:paraId="4D51D59C">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技术</w:t>
            </w:r>
          </w:p>
          <w:p w14:paraId="3BECB76A">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人员</w:t>
            </w:r>
          </w:p>
        </w:tc>
        <w:tc>
          <w:tcPr>
            <w:tcW w:w="988" w:type="dxa"/>
          </w:tcPr>
          <w:p w14:paraId="37E2DFB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A345198">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409C826">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317A2E9">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BBE4E4D">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78458EC">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6D6E9E9B">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1105FEB5">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r w14:paraId="7FE7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vAlign w:val="center"/>
          </w:tcPr>
          <w:p w14:paraId="479ECE47">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tcPr>
          <w:p w14:paraId="4B1505D6">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774A99EB">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60129523">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0A52C8E3">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7B67280F">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439298E">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C6EBAB6">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3BC5703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r w14:paraId="0D5B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vAlign w:val="center"/>
          </w:tcPr>
          <w:p w14:paraId="200DE7B9">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tcPr>
          <w:p w14:paraId="4653A338">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9E83199">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04F07C7D">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A561E48">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4616A1B6">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C4871FB">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07276B7C">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232B94C4">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r w14:paraId="3825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restart"/>
            <w:vAlign w:val="center"/>
          </w:tcPr>
          <w:p w14:paraId="4627BA37">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售后服务人员</w:t>
            </w:r>
          </w:p>
        </w:tc>
        <w:tc>
          <w:tcPr>
            <w:tcW w:w="988" w:type="dxa"/>
          </w:tcPr>
          <w:p w14:paraId="094CF49E">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64A546F">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9B7EB64">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05EF862">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7B391D0">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7F95B95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6D63A5A4">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63E8A8EB">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r w14:paraId="4F25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tcPr>
          <w:p w14:paraId="163FC03C">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0F80F12E">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4B27856D">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9C6BB8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47E2E174">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764CE1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00D32F06">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43891646">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51E3028B">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r w14:paraId="2805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87" w:type="dxa"/>
            <w:vMerge w:val="continue"/>
          </w:tcPr>
          <w:p w14:paraId="72F9E9A0">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50FAC60">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0093683">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77C2571">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4007B8E9">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6D6D3DE">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064DE4F">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3A6FA69">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21CA4D05">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bl>
    <w:p w14:paraId="66B1590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p w14:paraId="29E0E248">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p w14:paraId="3D7D2E0D">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供应商名称：XXXX（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2A3F3E2B">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14:paraId="1DE87AAB">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日    期：XXXX</w:t>
      </w:r>
    </w:p>
    <w:p w14:paraId="0323A870">
      <w:pPr>
        <w:pStyle w:val="14"/>
        <w:keepNext w:val="0"/>
        <w:keepLines w:val="0"/>
        <w:pageBreakBefore w:val="0"/>
        <w:tabs>
          <w:tab w:val="left" w:pos="0"/>
        </w:tabs>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b/>
          <w:sz w:val="32"/>
          <w:szCs w:val="32"/>
          <w:highlight w:val="none"/>
        </w:rPr>
      </w:pPr>
    </w:p>
    <w:p w14:paraId="0FFB616A">
      <w:pPr>
        <w:pStyle w:val="14"/>
        <w:keepNext w:val="0"/>
        <w:keepLines w:val="0"/>
        <w:pageBreakBefore w:val="0"/>
        <w:tabs>
          <w:tab w:val="left" w:pos="0"/>
        </w:tabs>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b/>
          <w:sz w:val="32"/>
          <w:szCs w:val="32"/>
          <w:highlight w:val="none"/>
          <w:lang w:val="en-US" w:eastAsia="zh-CN"/>
        </w:rPr>
      </w:pPr>
      <w:r>
        <w:rPr>
          <w:rFonts w:hint="eastAsia" w:ascii="仿宋" w:hAnsi="仿宋" w:eastAsia="仿宋"/>
          <w:b/>
          <w:sz w:val="32"/>
          <w:szCs w:val="32"/>
          <w:highlight w:val="none"/>
        </w:rPr>
        <w:t>格式2-</w:t>
      </w:r>
      <w:r>
        <w:rPr>
          <w:rFonts w:hint="eastAsia" w:ascii="仿宋" w:hAnsi="仿宋" w:eastAsia="仿宋"/>
          <w:b/>
          <w:sz w:val="32"/>
          <w:szCs w:val="32"/>
          <w:highlight w:val="none"/>
          <w:lang w:val="en-US" w:eastAsia="zh-CN"/>
        </w:rPr>
        <w:t>8</w:t>
      </w:r>
    </w:p>
    <w:p w14:paraId="734FAB37">
      <w:pPr>
        <w:keepNext w:val="0"/>
        <w:keepLines w:val="0"/>
        <w:pageBreakBefore w:val="0"/>
        <w:widowControl/>
        <w:kinsoku/>
        <w:wordWrap/>
        <w:overflowPunct/>
        <w:topLinePunct w:val="0"/>
        <w:autoSpaceDE/>
        <w:autoSpaceDN/>
        <w:bidi w:val="0"/>
        <w:adjustRightInd/>
        <w:snapToGrid/>
        <w:spacing w:line="360" w:lineRule="atLeast"/>
        <w:ind w:firstLine="630" w:firstLineChars="196"/>
        <w:jc w:val="center"/>
        <w:textAlignment w:val="auto"/>
        <w:outlineLvl w:val="9"/>
        <w:rPr>
          <w:rFonts w:hint="eastAsia" w:ascii="仿宋" w:hAnsi="仿宋" w:eastAsia="仿宋"/>
          <w:b/>
          <w:sz w:val="32"/>
          <w:szCs w:val="32"/>
          <w:highlight w:val="none"/>
        </w:rPr>
      </w:pPr>
      <w:r>
        <w:rPr>
          <w:rFonts w:hint="eastAsia" w:ascii="仿宋" w:hAnsi="仿宋" w:eastAsia="仿宋"/>
          <w:b/>
          <w:sz w:val="32"/>
          <w:szCs w:val="32"/>
          <w:highlight w:val="none"/>
        </w:rPr>
        <w:t>供应商认为需要提供的其它相关资料</w:t>
      </w:r>
    </w:p>
    <w:p w14:paraId="304DAFAF">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hint="eastAsia" w:ascii="仿宋" w:hAnsi="仿宋" w:eastAsia="仿宋"/>
          <w:sz w:val="24"/>
          <w:highlight w:val="none"/>
        </w:rPr>
      </w:pPr>
      <w:r>
        <w:rPr>
          <w:rFonts w:hint="eastAsia" w:ascii="仿宋" w:hAnsi="仿宋" w:eastAsia="仿宋"/>
          <w:sz w:val="24"/>
          <w:highlight w:val="none"/>
        </w:rPr>
        <w:t>供应商根据</w:t>
      </w:r>
      <w:r>
        <w:rPr>
          <w:rFonts w:hint="eastAsia" w:ascii="仿宋" w:hAnsi="仿宋" w:eastAsia="仿宋"/>
          <w:sz w:val="24"/>
          <w:highlight w:val="none"/>
          <w:lang w:eastAsia="zh-CN"/>
        </w:rPr>
        <w:t>磋商</w:t>
      </w:r>
      <w:r>
        <w:rPr>
          <w:rFonts w:hint="eastAsia" w:ascii="仿宋" w:hAnsi="仿宋" w:eastAsia="仿宋"/>
          <w:sz w:val="24"/>
          <w:highlight w:val="none"/>
        </w:rPr>
        <w:t>文件及本项目情况</w:t>
      </w:r>
      <w:r>
        <w:rPr>
          <w:rFonts w:hint="eastAsia" w:ascii="仿宋" w:hAnsi="仿宋" w:eastAsia="仿宋"/>
          <w:sz w:val="24"/>
          <w:highlight w:val="none"/>
          <w:lang w:eastAsia="zh-CN"/>
        </w:rPr>
        <w:t>填写</w:t>
      </w:r>
      <w:r>
        <w:rPr>
          <w:rFonts w:hint="eastAsia" w:ascii="仿宋" w:hAnsi="仿宋" w:eastAsia="仿宋"/>
          <w:sz w:val="24"/>
          <w:highlight w:val="none"/>
        </w:rPr>
        <w:t>（自拟格式）</w:t>
      </w:r>
    </w:p>
    <w:p w14:paraId="5625099A">
      <w:pPr>
        <w:rPr>
          <w:rFonts w:hint="eastAsia" w:ascii="仿宋" w:hAnsi="仿宋" w:eastAsia="仿宋"/>
          <w:b/>
          <w:sz w:val="32"/>
          <w:szCs w:val="32"/>
          <w:highlight w:val="none"/>
        </w:rPr>
      </w:pPr>
      <w:r>
        <w:rPr>
          <w:rFonts w:hint="eastAsia" w:ascii="仿宋" w:hAnsi="仿宋" w:eastAsia="仿宋"/>
          <w:b/>
          <w:sz w:val="32"/>
          <w:szCs w:val="32"/>
          <w:highlight w:val="none"/>
        </w:rPr>
        <w:br w:type="page"/>
      </w:r>
    </w:p>
    <w:p w14:paraId="6C74FB3B">
      <w:pPr>
        <w:pStyle w:val="14"/>
        <w:keepNext w:val="0"/>
        <w:keepLines w:val="0"/>
        <w:pageBreakBefore w:val="0"/>
        <w:tabs>
          <w:tab w:val="left" w:pos="0"/>
        </w:tabs>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b/>
          <w:sz w:val="32"/>
          <w:szCs w:val="32"/>
          <w:highlight w:val="none"/>
          <w:lang w:val="en-US" w:eastAsia="zh-CN"/>
        </w:rPr>
      </w:pPr>
      <w:r>
        <w:rPr>
          <w:rFonts w:hint="eastAsia" w:ascii="仿宋" w:hAnsi="仿宋" w:eastAsia="仿宋"/>
          <w:b/>
          <w:sz w:val="32"/>
          <w:szCs w:val="32"/>
          <w:highlight w:val="none"/>
        </w:rPr>
        <w:t>格式2-</w:t>
      </w:r>
      <w:r>
        <w:rPr>
          <w:rFonts w:hint="eastAsia" w:ascii="仿宋" w:hAnsi="仿宋" w:eastAsia="仿宋"/>
          <w:b/>
          <w:sz w:val="32"/>
          <w:szCs w:val="32"/>
          <w:highlight w:val="none"/>
          <w:lang w:val="en-US" w:eastAsia="zh-CN"/>
        </w:rPr>
        <w:t>9</w:t>
      </w:r>
    </w:p>
    <w:p w14:paraId="4331AF25">
      <w:pPr>
        <w:keepNext w:val="0"/>
        <w:keepLines w:val="0"/>
        <w:pageBreakBefore w:val="0"/>
        <w:widowControl/>
        <w:kinsoku/>
        <w:wordWrap/>
        <w:overflowPunct/>
        <w:topLinePunct w:val="0"/>
        <w:autoSpaceDE/>
        <w:autoSpaceDN/>
        <w:bidi w:val="0"/>
        <w:adjustRightInd/>
        <w:snapToGrid/>
        <w:spacing w:line="360" w:lineRule="atLeast"/>
        <w:ind w:firstLine="630" w:firstLineChars="196"/>
        <w:jc w:val="center"/>
        <w:textAlignment w:val="auto"/>
        <w:outlineLvl w:val="9"/>
        <w:rPr>
          <w:rFonts w:hint="eastAsia" w:ascii="仿宋" w:hAnsi="仿宋" w:eastAsia="仿宋"/>
          <w:b/>
          <w:sz w:val="32"/>
          <w:szCs w:val="32"/>
          <w:highlight w:val="none"/>
          <w:lang w:val="en-US" w:eastAsia="zh-CN"/>
        </w:rPr>
      </w:pPr>
      <w:r>
        <w:rPr>
          <w:rFonts w:hint="eastAsia" w:ascii="仿宋" w:hAnsi="仿宋" w:eastAsia="仿宋"/>
          <w:b/>
          <w:sz w:val="32"/>
          <w:szCs w:val="32"/>
          <w:highlight w:val="none"/>
          <w:lang w:val="en-US" w:eastAsia="zh-CN"/>
        </w:rPr>
        <w:t>代理服务费（承诺函）</w:t>
      </w:r>
    </w:p>
    <w:p w14:paraId="5AA11579">
      <w:pPr>
        <w:widowControl/>
        <w:numPr>
          <w:ilvl w:val="0"/>
          <w:numId w:val="0"/>
        </w:numPr>
        <w:autoSpaceDE/>
        <w:autoSpaceDN/>
        <w:adjustRightInd/>
        <w:snapToGrid/>
        <w:spacing w:beforeAutospacing="0" w:afterAutospacing="0" w:line="240" w:lineRule="auto"/>
        <w:ind w:left="0" w:leftChars="0" w:right="0" w:rightChars="0" w:firstLine="0" w:firstLineChars="0"/>
        <w:jc w:val="both"/>
        <w:outlineLvl w:val="9"/>
        <w:rPr>
          <w:rFonts w:hint="eastAsia" w:ascii="宋体" w:hAnsi="仿宋_GB2312" w:eastAsia="仿宋_GB2312" w:cs="仿宋_GB2312"/>
          <w:b w:val="0"/>
          <w:i w:val="0"/>
          <w:strike w:val="0"/>
          <w:dstrike w:val="0"/>
          <w:snapToGrid/>
          <w:spacing w:val="0"/>
          <w:w w:val="100"/>
          <w:kern w:val="0"/>
          <w:position w:val="0"/>
          <w:sz w:val="28"/>
          <w:szCs w:val="21"/>
          <w:highlight w:val="none"/>
          <w:u w:val="none"/>
          <w:lang w:val="en-US" w:eastAsia="zh-CN"/>
        </w:rPr>
      </w:pPr>
      <w:r>
        <w:rPr>
          <w:rFonts w:hint="eastAsia" w:ascii="宋体" w:hAnsi="仿宋_GB2312" w:eastAsia="仿宋_GB2312" w:cs="仿宋_GB2312"/>
          <w:b w:val="0"/>
          <w:i w:val="0"/>
          <w:strike w:val="0"/>
          <w:dstrike w:val="0"/>
          <w:snapToGrid/>
          <w:spacing w:val="0"/>
          <w:w w:val="100"/>
          <w:kern w:val="0"/>
          <w:position w:val="0"/>
          <w:sz w:val="28"/>
          <w:szCs w:val="21"/>
          <w:highlight w:val="none"/>
          <w:u w:val="none"/>
          <w:lang w:val="en-US" w:eastAsia="zh-CN"/>
        </w:rPr>
        <w:t>恒泰工程咨询集团有限公司：</w:t>
      </w:r>
    </w:p>
    <w:p w14:paraId="50761186">
      <w:pPr>
        <w:pStyle w:val="34"/>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pPr>
      <w:r>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t>贵公司代理的XXXX项目（项目编号）中，若我方获得中标或成交资格。</w:t>
      </w:r>
    </w:p>
    <w:p w14:paraId="5B2CF3A4">
      <w:pPr>
        <w:pStyle w:val="34"/>
        <w:widowControl/>
        <w:autoSpaceDE/>
        <w:autoSpaceDN/>
        <w:adjustRightInd/>
        <w:snapToGrid/>
        <w:spacing w:beforeAutospacing="0" w:afterAutospacing="0" w:line="240" w:lineRule="auto"/>
        <w:ind w:left="0" w:leftChars="0" w:right="0" w:rightChars="0" w:firstLine="562" w:firstLineChars="200"/>
        <w:jc w:val="both"/>
        <w:outlineLvl w:val="9"/>
        <w:rPr>
          <w:rFonts w:hint="eastAsia" w:ascii="宋体" w:hAnsi="仿宋_GB2312" w:eastAsia="仿宋_GB2312" w:cs="仿宋_GB2312"/>
          <w:b/>
          <w:bCs/>
          <w:i w:val="0"/>
          <w:strike w:val="0"/>
          <w:dstrike w:val="0"/>
          <w:snapToGrid/>
          <w:spacing w:val="0"/>
          <w:w w:val="100"/>
          <w:kern w:val="0"/>
          <w:position w:val="0"/>
          <w:sz w:val="28"/>
          <w:szCs w:val="20"/>
          <w:highlight w:val="none"/>
          <w:u w:val="none"/>
          <w:lang w:val="en-US" w:eastAsia="zh-CN"/>
        </w:rPr>
      </w:pPr>
      <w:r>
        <w:rPr>
          <w:rFonts w:hint="eastAsia" w:ascii="宋体" w:hAnsi="仿宋_GB2312" w:eastAsia="仿宋_GB2312" w:cs="仿宋_GB2312"/>
          <w:b/>
          <w:bCs/>
          <w:i w:val="0"/>
          <w:strike w:val="0"/>
          <w:dstrike w:val="0"/>
          <w:snapToGrid/>
          <w:spacing w:val="0"/>
          <w:w w:val="100"/>
          <w:kern w:val="0"/>
          <w:position w:val="0"/>
          <w:sz w:val="28"/>
          <w:szCs w:val="20"/>
          <w:highlight w:val="none"/>
          <w:u w:val="none"/>
          <w:lang w:val="en-US" w:eastAsia="zh-CN"/>
        </w:rPr>
        <w:t>我方承诺在收到中标或成交通知的2个工作日内，按照采购文件规定缴纳全额的代理服务费。</w:t>
      </w:r>
    </w:p>
    <w:p w14:paraId="52779D0C">
      <w:pPr>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spacing w:val="0"/>
          <w:w w:val="100"/>
          <w:kern w:val="0"/>
          <w:position w:val="0"/>
          <w:sz w:val="28"/>
          <w:szCs w:val="21"/>
          <w:highlight w:val="none"/>
          <w:u w:val="none"/>
          <w:lang w:val="en-US" w:eastAsia="zh-CN"/>
        </w:rPr>
      </w:pPr>
      <w:r>
        <w:rPr>
          <w:rFonts w:hint="eastAsia" w:ascii="宋体" w:hAnsi="仿宋_GB2312" w:eastAsia="仿宋_GB2312" w:cs="仿宋_GB2312"/>
          <w:b w:val="0"/>
          <w:i w:val="0"/>
          <w:strike w:val="0"/>
          <w:dstrike w:val="0"/>
          <w:snapToGrid/>
          <w:spacing w:val="0"/>
          <w:w w:val="100"/>
          <w:kern w:val="0"/>
          <w:position w:val="0"/>
          <w:sz w:val="28"/>
          <w:szCs w:val="21"/>
          <w:highlight w:val="none"/>
          <w:u w:val="none"/>
          <w:lang w:val="en-US" w:eastAsia="zh-CN"/>
        </w:rPr>
        <w:t>特此承诺。</w:t>
      </w:r>
    </w:p>
    <w:p w14:paraId="18749E2E">
      <w:pPr>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spacing w:val="0"/>
          <w:w w:val="100"/>
          <w:kern w:val="0"/>
          <w:position w:val="0"/>
          <w:sz w:val="28"/>
          <w:szCs w:val="21"/>
          <w:highlight w:val="none"/>
          <w:u w:val="none"/>
          <w:lang w:val="en-US" w:eastAsia="zh-CN"/>
        </w:rPr>
      </w:pPr>
    </w:p>
    <w:p w14:paraId="73F1808F">
      <w:pPr>
        <w:pStyle w:val="34"/>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pPr>
      <w:r>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t>供应商名称：XXXX（单位公章）</w:t>
      </w:r>
    </w:p>
    <w:p w14:paraId="40C7462D">
      <w:pPr>
        <w:pStyle w:val="34"/>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pPr>
      <w:r>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t>法定代表人/单位负责人或授权代表（签字或加盖个人印章）：XXXX。</w:t>
      </w:r>
    </w:p>
    <w:p w14:paraId="3ECBF55D">
      <w:pPr>
        <w:pStyle w:val="34"/>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pPr>
      <w:r>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t>日    期：XXXX。</w:t>
      </w:r>
    </w:p>
    <w:p w14:paraId="1326EF4C">
      <w:pPr>
        <w:pStyle w:val="34"/>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pPr>
    </w:p>
    <w:p w14:paraId="1C19E9D1">
      <w:pPr>
        <w:pStyle w:val="34"/>
        <w:widowControl/>
        <w:autoSpaceDE/>
        <w:autoSpaceDN/>
        <w:adjustRightInd/>
        <w:snapToGrid/>
        <w:spacing w:beforeAutospacing="0" w:afterAutospacing="0" w:line="240" w:lineRule="auto"/>
        <w:ind w:left="0" w:leftChars="0" w:right="0" w:rightChars="0" w:firstLine="560" w:firstLineChars="200"/>
        <w:jc w:val="both"/>
        <w:outlineLvl w:val="9"/>
        <w:rPr>
          <w:rFonts w:hint="eastAsia"/>
          <w:sz w:val="20"/>
          <w:szCs w:val="20"/>
          <w:highlight w:val="none"/>
        </w:rPr>
      </w:pPr>
      <w:r>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t>注：缴纳全额的代理服务费后，请按照采购文件要求领取中标（成交）通知书。</w:t>
      </w:r>
    </w:p>
    <w:p w14:paraId="015FD65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b/>
          <w:sz w:val="32"/>
          <w:szCs w:val="32"/>
          <w:highlight w:val="none"/>
        </w:rPr>
      </w:pPr>
      <w:bookmarkStart w:id="50" w:name="_Toc5062"/>
      <w:bookmarkStart w:id="51" w:name="_Toc439679295"/>
      <w:bookmarkStart w:id="52" w:name="_Toc217446060"/>
      <w:bookmarkStart w:id="53" w:name="_Toc256502558"/>
      <w:bookmarkStart w:id="54" w:name="_Toc229393560"/>
      <w:bookmarkStart w:id="55" w:name="_Toc306711441"/>
      <w:bookmarkStart w:id="56" w:name="_Toc229476110"/>
      <w:bookmarkStart w:id="57" w:name="_Toc229393644"/>
      <w:bookmarkStart w:id="58" w:name="_Toc229395145"/>
      <w:bookmarkStart w:id="59" w:name="_Toc389231769"/>
      <w:bookmarkStart w:id="60" w:name="_Toc307298485"/>
      <w:bookmarkStart w:id="61" w:name="_Toc245097947"/>
      <w:bookmarkStart w:id="62" w:name="_Toc389231767"/>
      <w:bookmarkStart w:id="63" w:name="_Toc241204651"/>
      <w:bookmarkStart w:id="64" w:name="_Toc241053690"/>
      <w:bookmarkStart w:id="65" w:name="_Toc307298483"/>
      <w:bookmarkStart w:id="66" w:name="_Toc439679293"/>
      <w:bookmarkStart w:id="67" w:name="_Toc229393392"/>
      <w:bookmarkStart w:id="68" w:name="_Toc62832459"/>
      <w:bookmarkStart w:id="69" w:name="_Toc315963034"/>
      <w:bookmarkStart w:id="70" w:name="_Toc229395229"/>
      <w:bookmarkStart w:id="71" w:name="_Toc390774317"/>
      <w:bookmarkStart w:id="72" w:name="_Toc306711443"/>
      <w:bookmarkStart w:id="73" w:name="_Toc390774319"/>
      <w:bookmarkStart w:id="74" w:name="_Toc229475781"/>
      <w:bookmarkStart w:id="75" w:name="_Toc240870198"/>
      <w:bookmarkStart w:id="76" w:name="_Toc389231679"/>
      <w:bookmarkStart w:id="77" w:name="_Toc389231677"/>
      <w:bookmarkStart w:id="78" w:name="_Toc389552551"/>
      <w:bookmarkStart w:id="79" w:name="_Toc315963032"/>
      <w:bookmarkStart w:id="80" w:name="_Toc256004204"/>
      <w:bookmarkStart w:id="81" w:name="_Toc389552549"/>
      <w:r>
        <w:rPr>
          <w:rFonts w:hint="eastAsia" w:ascii="仿宋" w:hAnsi="仿宋" w:eastAsia="仿宋"/>
          <w:b/>
          <w:sz w:val="32"/>
          <w:szCs w:val="32"/>
          <w:highlight w:val="none"/>
        </w:rPr>
        <w:br w:type="page"/>
      </w:r>
    </w:p>
    <w:p w14:paraId="43C70813">
      <w:pPr>
        <w:pStyle w:val="14"/>
        <w:keepNext w:val="0"/>
        <w:keepLines w:val="0"/>
        <w:pageBreakBefore w:val="0"/>
        <w:tabs>
          <w:tab w:val="left" w:pos="0"/>
        </w:tabs>
        <w:kinsoku/>
        <w:wordWrap/>
        <w:overflowPunct/>
        <w:topLinePunct w:val="0"/>
        <w:autoSpaceDE/>
        <w:autoSpaceDN/>
        <w:bidi w:val="0"/>
        <w:adjustRightInd/>
        <w:snapToGrid/>
        <w:ind w:left="0" w:leftChars="0" w:firstLine="0" w:firstLineChars="0"/>
        <w:textAlignment w:val="auto"/>
        <w:outlineLvl w:val="9"/>
        <w:rPr>
          <w:rFonts w:hint="default" w:ascii="仿宋" w:hAnsi="仿宋" w:eastAsia="仿宋"/>
          <w:b/>
          <w:sz w:val="32"/>
          <w:szCs w:val="32"/>
          <w:highlight w:val="none"/>
          <w:lang w:val="en-US" w:eastAsia="zh-CN"/>
        </w:rPr>
      </w:pPr>
      <w:r>
        <w:rPr>
          <w:rFonts w:hint="eastAsia" w:ascii="仿宋" w:hAnsi="仿宋" w:eastAsia="仿宋"/>
          <w:b/>
          <w:sz w:val="32"/>
          <w:szCs w:val="32"/>
          <w:highlight w:val="none"/>
        </w:rPr>
        <w:t>格式2-</w:t>
      </w:r>
      <w:r>
        <w:rPr>
          <w:rFonts w:hint="eastAsia" w:ascii="仿宋" w:hAnsi="仿宋" w:eastAsia="仿宋"/>
          <w:b/>
          <w:sz w:val="32"/>
          <w:szCs w:val="32"/>
          <w:highlight w:val="none"/>
          <w:lang w:val="en-US" w:eastAsia="zh-CN"/>
        </w:rPr>
        <w:t>10</w:t>
      </w:r>
    </w:p>
    <w:p w14:paraId="447C680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b/>
          <w:sz w:val="32"/>
          <w:szCs w:val="32"/>
          <w:highlight w:val="none"/>
        </w:rPr>
      </w:pPr>
    </w:p>
    <w:p w14:paraId="674DC06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b/>
          <w:sz w:val="32"/>
          <w:szCs w:val="32"/>
          <w:highlight w:val="none"/>
          <w:lang w:eastAsia="zh-CN"/>
        </w:rPr>
      </w:pPr>
      <w:r>
        <w:rPr>
          <w:rFonts w:hint="eastAsia" w:ascii="仿宋" w:hAnsi="仿宋" w:eastAsia="仿宋"/>
          <w:b/>
          <w:sz w:val="32"/>
          <w:szCs w:val="32"/>
          <w:highlight w:val="none"/>
          <w:lang w:eastAsia="zh-CN"/>
        </w:rPr>
        <w:t>中小企业声明函</w:t>
      </w:r>
    </w:p>
    <w:p w14:paraId="4576283B">
      <w:pPr>
        <w:pageBreakBefore w:val="0"/>
        <w:kinsoku/>
        <w:wordWrap/>
        <w:overflowPunct/>
        <w:topLinePunct w:val="0"/>
        <w:autoSpaceDE/>
        <w:autoSpaceDN/>
        <w:bidi w:val="0"/>
        <w:snapToGrid/>
        <w:textAlignment w:val="auto"/>
        <w:outlineLvl w:val="9"/>
        <w:rPr>
          <w:rFonts w:ascii="仿宋" w:hAnsi="仿宋" w:eastAsia="仿宋"/>
          <w:b/>
          <w:sz w:val="32"/>
          <w:szCs w:val="32"/>
          <w:highlight w:val="none"/>
        </w:rPr>
      </w:pPr>
    </w:p>
    <w:p w14:paraId="3BF6DB81">
      <w:pPr>
        <w:pageBreakBefore w:val="0"/>
        <w:kinsoku/>
        <w:wordWrap/>
        <w:overflowPunct/>
        <w:topLinePunct w:val="0"/>
        <w:autoSpaceDE/>
        <w:autoSpaceDN/>
        <w:bidi w:val="0"/>
        <w:snapToGrid/>
        <w:spacing w:line="360" w:lineRule="auto"/>
        <w:ind w:firstLine="480" w:firstLineChars="200"/>
        <w:jc w:val="left"/>
        <w:textAlignment w:val="auto"/>
        <w:outlineLvl w:val="9"/>
        <w:rPr>
          <w:rFonts w:hint="eastAsia" w:ascii="仿宋" w:hAnsi="仿宋" w:eastAsia="仿宋"/>
          <w:sz w:val="24"/>
          <w:highlight w:val="none"/>
          <w:lang w:eastAsia="zh-CN"/>
        </w:rPr>
      </w:pPr>
      <w:r>
        <w:rPr>
          <w:rFonts w:hint="eastAsia" w:ascii="仿宋" w:hAnsi="仿宋" w:eastAsia="仿宋"/>
          <w:sz w:val="24"/>
          <w:highlight w:val="none"/>
        </w:rPr>
        <w:t>本公司（联合体）郑重声明，根据《政府采购促进中小企业发展管理办法》（财库〔2020</w:t>
      </w:r>
      <w:r>
        <w:rPr>
          <w:rFonts w:ascii="仿宋" w:hAnsi="仿宋" w:eastAsia="仿宋"/>
          <w:sz w:val="24"/>
          <w:highlight w:val="none"/>
        </w:rPr>
        <w:t>〕</w:t>
      </w:r>
      <w:r>
        <w:rPr>
          <w:rFonts w:hint="eastAsia" w:ascii="仿宋" w:hAnsi="仿宋" w:eastAsia="仿宋"/>
          <w:sz w:val="24"/>
          <w:highlight w:val="none"/>
        </w:rPr>
        <w:t>46 号）</w:t>
      </w:r>
      <w:r>
        <w:rPr>
          <w:rFonts w:ascii="仿宋" w:hAnsi="仿宋" w:eastAsia="仿宋"/>
          <w:sz w:val="24"/>
          <w:highlight w:val="none"/>
        </w:rPr>
        <w:t>的规定，</w:t>
      </w:r>
      <w:r>
        <w:rPr>
          <w:rFonts w:hint="eastAsia" w:ascii="仿宋" w:hAnsi="仿宋" w:eastAsia="仿宋"/>
          <w:sz w:val="24"/>
          <w:highlight w:val="none"/>
        </w:rPr>
        <w:t xml:space="preserve">本公司（联合体）参加 </w:t>
      </w:r>
      <w:r>
        <w:rPr>
          <w:rFonts w:hint="eastAsia" w:ascii="仿宋" w:hAnsi="仿宋" w:eastAsia="仿宋"/>
          <w:sz w:val="24"/>
          <w:highlight w:val="none"/>
          <w:u w:val="single"/>
        </w:rPr>
        <w:t xml:space="preserve">（单位名称） </w:t>
      </w:r>
      <w:r>
        <w:rPr>
          <w:rFonts w:hint="eastAsia" w:ascii="仿宋" w:hAnsi="仿宋" w:eastAsia="仿宋"/>
          <w:sz w:val="24"/>
          <w:highlight w:val="none"/>
        </w:rPr>
        <w:t xml:space="preserve">的 </w:t>
      </w:r>
      <w:r>
        <w:rPr>
          <w:rFonts w:hint="eastAsia" w:ascii="仿宋" w:hAnsi="仿宋" w:eastAsia="仿宋"/>
          <w:sz w:val="24"/>
          <w:highlight w:val="none"/>
          <w:u w:val="single"/>
        </w:rPr>
        <w:t xml:space="preserve">（项目名称） </w:t>
      </w:r>
      <w:r>
        <w:rPr>
          <w:rFonts w:hint="eastAsia" w:ascii="仿宋" w:hAnsi="仿宋" w:eastAsia="仿宋"/>
          <w:sz w:val="24"/>
          <w:highlight w:val="none"/>
        </w:rPr>
        <w:t>采购活动，提供的货物全部由符合政策要求的中小企业制造。相关企业（含联合体中的中小企业、签订分包意向协议的中小企业）的具体情况如下：</w:t>
      </w:r>
    </w:p>
    <w:p w14:paraId="34EA04FA">
      <w:pPr>
        <w:pageBreakBefore w:val="0"/>
        <w:kinsoku/>
        <w:wordWrap/>
        <w:overflowPunct/>
        <w:topLinePunct w:val="0"/>
        <w:autoSpaceDE/>
        <w:autoSpaceDN/>
        <w:bidi w:val="0"/>
        <w:snapToGrid/>
        <w:spacing w:line="36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　　</w:t>
      </w:r>
      <w:bookmarkStart w:id="82" w:name="_Toc417911732"/>
      <w:bookmarkStart w:id="83" w:name="_Toc387147344"/>
      <w:bookmarkStart w:id="84" w:name="_Toc419811733"/>
      <w:bookmarkStart w:id="85" w:name="_Toc413748654"/>
      <w:bookmarkStart w:id="86" w:name="_Toc387658050"/>
      <w:r>
        <w:rPr>
          <w:rFonts w:hint="eastAsia" w:ascii="仿宋" w:hAnsi="仿宋" w:eastAsia="仿宋"/>
          <w:sz w:val="24"/>
          <w:highlight w:val="none"/>
        </w:rPr>
        <w:t xml:space="preserve">1. </w:t>
      </w:r>
      <w:r>
        <w:rPr>
          <w:rFonts w:hint="eastAsia" w:ascii="仿宋" w:hAnsi="仿宋" w:eastAsia="仿宋"/>
          <w:sz w:val="24"/>
          <w:highlight w:val="none"/>
          <w:u w:val="single"/>
        </w:rPr>
        <w:t xml:space="preserve">（标的名称） </w:t>
      </w:r>
      <w:r>
        <w:rPr>
          <w:rFonts w:hint="eastAsia" w:ascii="仿宋" w:hAnsi="仿宋" w:eastAsia="仿宋"/>
          <w:sz w:val="24"/>
          <w:highlight w:val="none"/>
        </w:rPr>
        <w:t>，属于</w:t>
      </w:r>
      <w:r>
        <w:rPr>
          <w:rFonts w:hint="eastAsia" w:ascii="仿宋" w:hAnsi="仿宋" w:eastAsia="仿宋"/>
          <w:sz w:val="24"/>
          <w:highlight w:val="none"/>
          <w:u w:val="single"/>
        </w:rPr>
        <w:t xml:space="preserve"> （采购文件中明确的所属行业） </w:t>
      </w:r>
      <w:r>
        <w:rPr>
          <w:rFonts w:hint="eastAsia" w:ascii="仿宋" w:hAnsi="仿宋" w:eastAsia="仿宋"/>
          <w:sz w:val="24"/>
          <w:highlight w:val="none"/>
        </w:rPr>
        <w:t>；制造商为</w:t>
      </w:r>
      <w:r>
        <w:rPr>
          <w:rFonts w:hint="eastAsia" w:ascii="仿宋" w:hAnsi="仿宋" w:eastAsia="仿宋"/>
          <w:sz w:val="24"/>
          <w:highlight w:val="none"/>
          <w:u w:val="single"/>
        </w:rPr>
        <w:t xml:space="preserve"> （企业名称） </w:t>
      </w:r>
      <w:r>
        <w:rPr>
          <w:rFonts w:hint="eastAsia" w:ascii="仿宋" w:hAnsi="仿宋" w:eastAsia="仿宋"/>
          <w:sz w:val="24"/>
          <w:highlight w:val="none"/>
        </w:rPr>
        <w:t>，从业人员</w:t>
      </w:r>
      <w:r>
        <w:rPr>
          <w:rFonts w:ascii="仿宋" w:hAnsi="仿宋" w:eastAsia="仿宋"/>
          <w:sz w:val="24"/>
          <w:highlight w:val="none"/>
          <w:u w:val="single"/>
        </w:rPr>
        <w:t xml:space="preserve">   </w:t>
      </w:r>
      <w:r>
        <w:rPr>
          <w:rFonts w:hint="eastAsia" w:ascii="仿宋" w:hAnsi="仿宋" w:eastAsia="仿宋"/>
          <w:sz w:val="24"/>
          <w:highlight w:val="none"/>
        </w:rPr>
        <w:t>人，营业收入为</w:t>
      </w:r>
      <w:r>
        <w:rPr>
          <w:rFonts w:ascii="仿宋" w:hAnsi="仿宋" w:eastAsia="仿宋"/>
          <w:sz w:val="24"/>
          <w:highlight w:val="none"/>
          <w:u w:val="single"/>
        </w:rPr>
        <w:t xml:space="preserve">    </w:t>
      </w:r>
      <w:r>
        <w:rPr>
          <w:rFonts w:hint="eastAsia" w:ascii="仿宋" w:hAnsi="仿宋" w:eastAsia="仿宋"/>
          <w:sz w:val="24"/>
          <w:highlight w:val="none"/>
        </w:rPr>
        <w:t>万元，资产总额为</w:t>
      </w:r>
      <w:r>
        <w:rPr>
          <w:rFonts w:ascii="仿宋" w:hAnsi="仿宋" w:eastAsia="仿宋"/>
          <w:sz w:val="24"/>
          <w:highlight w:val="none"/>
          <w:u w:val="single"/>
        </w:rPr>
        <w:t xml:space="preserve">   </w:t>
      </w:r>
      <w:r>
        <w:rPr>
          <w:rFonts w:hint="eastAsia" w:ascii="仿宋" w:hAnsi="仿宋" w:eastAsia="仿宋"/>
          <w:sz w:val="24"/>
          <w:highlight w:val="none"/>
        </w:rPr>
        <w:t>万元，属于</w:t>
      </w:r>
      <w:r>
        <w:rPr>
          <w:rFonts w:hint="eastAsia" w:ascii="仿宋" w:hAnsi="仿宋" w:eastAsia="仿宋"/>
          <w:sz w:val="24"/>
          <w:highlight w:val="none"/>
          <w:u w:val="single"/>
        </w:rPr>
        <w:t xml:space="preserve"> （中型企业、小型企业、微型企业） </w:t>
      </w:r>
      <w:r>
        <w:rPr>
          <w:rFonts w:hint="eastAsia" w:ascii="仿宋" w:hAnsi="仿宋" w:eastAsia="仿宋"/>
          <w:sz w:val="24"/>
          <w:highlight w:val="none"/>
        </w:rPr>
        <w:t>；</w:t>
      </w:r>
    </w:p>
    <w:p w14:paraId="6F7D987B">
      <w:pPr>
        <w:pageBreakBefore w:val="0"/>
        <w:kinsoku/>
        <w:wordWrap/>
        <w:overflowPunct/>
        <w:topLinePunct w:val="0"/>
        <w:autoSpaceDE/>
        <w:autoSpaceDN/>
        <w:bidi w:val="0"/>
        <w:snapToGrid/>
        <w:spacing w:line="360" w:lineRule="auto"/>
        <w:ind w:firstLine="600" w:firstLineChars="250"/>
        <w:jc w:val="left"/>
        <w:textAlignment w:val="auto"/>
        <w:outlineLvl w:val="9"/>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u w:val="single"/>
        </w:rPr>
        <w:t xml:space="preserve"> （标的名称） </w:t>
      </w:r>
      <w:r>
        <w:rPr>
          <w:rFonts w:hint="eastAsia" w:ascii="仿宋" w:hAnsi="仿宋" w:eastAsia="仿宋"/>
          <w:sz w:val="24"/>
          <w:highlight w:val="none"/>
        </w:rPr>
        <w:t>，属于</w:t>
      </w:r>
      <w:r>
        <w:rPr>
          <w:rFonts w:hint="eastAsia" w:ascii="仿宋" w:hAnsi="仿宋" w:eastAsia="仿宋"/>
          <w:sz w:val="24"/>
          <w:highlight w:val="none"/>
          <w:u w:val="single"/>
        </w:rPr>
        <w:t xml:space="preserve"> （采购文件中明确的所属行业） </w:t>
      </w:r>
      <w:r>
        <w:rPr>
          <w:rFonts w:hint="eastAsia" w:ascii="仿宋" w:hAnsi="仿宋" w:eastAsia="仿宋"/>
          <w:sz w:val="24"/>
          <w:highlight w:val="none"/>
        </w:rPr>
        <w:t>；制造商为</w:t>
      </w:r>
      <w:r>
        <w:rPr>
          <w:rFonts w:hint="eastAsia" w:ascii="仿宋" w:hAnsi="仿宋" w:eastAsia="仿宋"/>
          <w:sz w:val="24"/>
          <w:highlight w:val="none"/>
          <w:u w:val="single"/>
        </w:rPr>
        <w:t xml:space="preserve"> （企业名称） </w:t>
      </w:r>
      <w:r>
        <w:rPr>
          <w:rFonts w:hint="eastAsia" w:ascii="仿宋" w:hAnsi="仿宋" w:eastAsia="仿宋"/>
          <w:sz w:val="24"/>
          <w:highlight w:val="none"/>
        </w:rPr>
        <w:t>，从业人员</w:t>
      </w:r>
      <w:r>
        <w:rPr>
          <w:rFonts w:ascii="仿宋" w:hAnsi="仿宋" w:eastAsia="仿宋"/>
          <w:sz w:val="24"/>
          <w:highlight w:val="none"/>
          <w:u w:val="single"/>
        </w:rPr>
        <w:t xml:space="preserve">   </w:t>
      </w:r>
      <w:r>
        <w:rPr>
          <w:rFonts w:hint="eastAsia" w:ascii="仿宋" w:hAnsi="仿宋" w:eastAsia="仿宋"/>
          <w:sz w:val="24"/>
          <w:highlight w:val="none"/>
        </w:rPr>
        <w:t>人，营业收入为</w:t>
      </w:r>
      <w:r>
        <w:rPr>
          <w:rFonts w:ascii="仿宋" w:hAnsi="仿宋" w:eastAsia="仿宋"/>
          <w:sz w:val="24"/>
          <w:highlight w:val="none"/>
          <w:u w:val="single"/>
        </w:rPr>
        <w:t xml:space="preserve">    </w:t>
      </w:r>
      <w:r>
        <w:rPr>
          <w:rFonts w:hint="eastAsia" w:ascii="仿宋" w:hAnsi="仿宋" w:eastAsia="仿宋"/>
          <w:sz w:val="24"/>
          <w:highlight w:val="none"/>
        </w:rPr>
        <w:t>万元，资产总额为</w:t>
      </w:r>
      <w:r>
        <w:rPr>
          <w:rFonts w:ascii="仿宋" w:hAnsi="仿宋" w:eastAsia="仿宋"/>
          <w:sz w:val="24"/>
          <w:highlight w:val="none"/>
          <w:u w:val="single"/>
        </w:rPr>
        <w:t xml:space="preserve">   </w:t>
      </w:r>
      <w:r>
        <w:rPr>
          <w:rFonts w:hint="eastAsia" w:ascii="仿宋" w:hAnsi="仿宋" w:eastAsia="仿宋"/>
          <w:sz w:val="24"/>
          <w:highlight w:val="none"/>
        </w:rPr>
        <w:t>万元，属于</w:t>
      </w:r>
      <w:r>
        <w:rPr>
          <w:rFonts w:hint="eastAsia" w:ascii="仿宋" w:hAnsi="仿宋" w:eastAsia="仿宋"/>
          <w:sz w:val="24"/>
          <w:highlight w:val="none"/>
          <w:u w:val="single"/>
        </w:rPr>
        <w:t xml:space="preserve"> （中型企业、小型企业、微型企业） </w:t>
      </w:r>
      <w:r>
        <w:rPr>
          <w:rFonts w:hint="eastAsia" w:ascii="仿宋" w:hAnsi="仿宋" w:eastAsia="仿宋"/>
          <w:sz w:val="24"/>
          <w:highlight w:val="none"/>
        </w:rPr>
        <w:t>；</w:t>
      </w:r>
    </w:p>
    <w:p w14:paraId="093FBFBB">
      <w:pPr>
        <w:pageBreakBefore w:val="0"/>
        <w:kinsoku/>
        <w:wordWrap/>
        <w:overflowPunct/>
        <w:topLinePunct w:val="0"/>
        <w:autoSpaceDE/>
        <w:autoSpaceDN/>
        <w:bidi w:val="0"/>
        <w:snapToGrid/>
        <w:spacing w:line="360" w:lineRule="auto"/>
        <w:ind w:firstLine="600" w:firstLineChars="250"/>
        <w:jc w:val="left"/>
        <w:textAlignment w:val="auto"/>
        <w:outlineLvl w:val="9"/>
        <w:rPr>
          <w:rFonts w:ascii="仿宋" w:hAnsi="仿宋" w:eastAsia="仿宋"/>
          <w:sz w:val="24"/>
          <w:highlight w:val="none"/>
        </w:rPr>
      </w:pPr>
      <w:r>
        <w:rPr>
          <w:rFonts w:hint="eastAsia" w:ascii="仿宋" w:hAnsi="仿宋" w:eastAsia="仿宋"/>
          <w:sz w:val="24"/>
          <w:highlight w:val="none"/>
        </w:rPr>
        <w:t>……</w:t>
      </w:r>
    </w:p>
    <w:p w14:paraId="7BB5F7EC">
      <w:pPr>
        <w:pageBreakBefore w:val="0"/>
        <w:kinsoku/>
        <w:wordWrap/>
        <w:overflowPunct/>
        <w:topLinePunct w:val="0"/>
        <w:autoSpaceDE/>
        <w:autoSpaceDN/>
        <w:bidi w:val="0"/>
        <w:snapToGrid/>
        <w:spacing w:line="360" w:lineRule="auto"/>
        <w:ind w:firstLine="600" w:firstLineChars="250"/>
        <w:jc w:val="left"/>
        <w:textAlignment w:val="auto"/>
        <w:outlineLvl w:val="9"/>
        <w:rPr>
          <w:rFonts w:ascii="仿宋" w:hAnsi="仿宋" w:eastAsia="仿宋"/>
          <w:sz w:val="24"/>
          <w:highlight w:val="none"/>
        </w:rPr>
      </w:pPr>
      <w:r>
        <w:rPr>
          <w:rFonts w:hint="eastAsia" w:ascii="仿宋" w:hAnsi="仿宋" w:eastAsia="仿宋"/>
          <w:sz w:val="24"/>
          <w:highlight w:val="none"/>
        </w:rPr>
        <w:t>以上企业，不属于大企业的分支机构，不存在控股股东为大企业的情形，也不存在与大企业的负责人为同一人的情形。</w:t>
      </w:r>
    </w:p>
    <w:p w14:paraId="63047F42">
      <w:pPr>
        <w:pageBreakBefore w:val="0"/>
        <w:kinsoku/>
        <w:wordWrap/>
        <w:overflowPunct/>
        <w:topLinePunct w:val="0"/>
        <w:autoSpaceDE/>
        <w:autoSpaceDN/>
        <w:bidi w:val="0"/>
        <w:snapToGrid/>
        <w:spacing w:line="360" w:lineRule="auto"/>
        <w:ind w:firstLine="600" w:firstLineChars="250"/>
        <w:jc w:val="left"/>
        <w:textAlignment w:val="auto"/>
        <w:outlineLvl w:val="9"/>
        <w:rPr>
          <w:rFonts w:ascii="仿宋" w:hAnsi="仿宋" w:eastAsia="仿宋"/>
          <w:sz w:val="24"/>
          <w:highlight w:val="none"/>
        </w:rPr>
      </w:pPr>
      <w:r>
        <w:rPr>
          <w:rFonts w:hint="eastAsia" w:ascii="仿宋" w:hAnsi="仿宋" w:eastAsia="仿宋"/>
          <w:sz w:val="24"/>
          <w:highlight w:val="none"/>
        </w:rPr>
        <w:t>本企业对上述声明内容的真实性负责。如有虚假，将依法承担相应责任。</w:t>
      </w:r>
    </w:p>
    <w:p w14:paraId="2E1AA8D4">
      <w:pPr>
        <w:pageBreakBefore w:val="0"/>
        <w:kinsoku/>
        <w:wordWrap/>
        <w:overflowPunct/>
        <w:topLinePunct w:val="0"/>
        <w:autoSpaceDE/>
        <w:autoSpaceDN/>
        <w:bidi w:val="0"/>
        <w:snapToGrid/>
        <w:spacing w:line="360" w:lineRule="auto"/>
        <w:jc w:val="center"/>
        <w:textAlignment w:val="auto"/>
        <w:outlineLvl w:val="9"/>
        <w:rPr>
          <w:rFonts w:ascii="仿宋" w:hAnsi="仿宋" w:eastAsia="仿宋"/>
          <w:sz w:val="24"/>
          <w:highlight w:val="none"/>
        </w:rPr>
      </w:pPr>
      <w:r>
        <w:rPr>
          <w:rFonts w:hint="eastAsia" w:ascii="仿宋" w:hAnsi="仿宋" w:eastAsia="仿宋"/>
          <w:sz w:val="24"/>
          <w:highlight w:val="none"/>
        </w:rPr>
        <w:t xml:space="preserve">                                 企业名称（盖章）：</w:t>
      </w:r>
    </w:p>
    <w:p w14:paraId="2277C0FE">
      <w:pPr>
        <w:pageBreakBefore w:val="0"/>
        <w:kinsoku/>
        <w:wordWrap/>
        <w:overflowPunct/>
        <w:topLinePunct w:val="0"/>
        <w:autoSpaceDE/>
        <w:autoSpaceDN/>
        <w:bidi w:val="0"/>
        <w:snapToGrid/>
        <w:spacing w:line="360" w:lineRule="auto"/>
        <w:jc w:val="center"/>
        <w:textAlignment w:val="auto"/>
        <w:outlineLvl w:val="9"/>
        <w:rPr>
          <w:rFonts w:ascii="仿宋" w:hAnsi="仿宋" w:eastAsia="仿宋"/>
          <w:sz w:val="24"/>
          <w:highlight w:val="none"/>
        </w:rPr>
      </w:pPr>
      <w:r>
        <w:rPr>
          <w:rFonts w:hint="eastAsia" w:ascii="仿宋" w:hAnsi="仿宋" w:eastAsia="仿宋"/>
          <w:sz w:val="24"/>
          <w:highlight w:val="none"/>
        </w:rPr>
        <w:t xml:space="preserve">                        日 期：</w:t>
      </w:r>
    </w:p>
    <w:p w14:paraId="596625E3">
      <w:pPr>
        <w:pageBreakBefore w:val="0"/>
        <w:kinsoku/>
        <w:wordWrap/>
        <w:overflowPunct/>
        <w:topLinePunct w:val="0"/>
        <w:autoSpaceDE/>
        <w:autoSpaceDN/>
        <w:bidi w:val="0"/>
        <w:snapToGrid/>
        <w:spacing w:line="360" w:lineRule="auto"/>
        <w:jc w:val="left"/>
        <w:textAlignment w:val="auto"/>
        <w:outlineLvl w:val="9"/>
        <w:rPr>
          <w:rFonts w:ascii="仿宋" w:hAnsi="仿宋" w:eastAsia="仿宋" w:cs="宋体"/>
          <w:sz w:val="24"/>
          <w:highlight w:val="none"/>
        </w:rPr>
      </w:pPr>
      <w:r>
        <w:rPr>
          <w:rFonts w:hint="eastAsia" w:ascii="仿宋" w:hAnsi="仿宋" w:eastAsia="仿宋" w:cs="宋体"/>
          <w:sz w:val="24"/>
          <w:highlight w:val="none"/>
        </w:rPr>
        <w:t>注：</w:t>
      </w:r>
    </w:p>
    <w:p w14:paraId="526B5DC6">
      <w:pPr>
        <w:pageBreakBefore w:val="0"/>
        <w:kinsoku/>
        <w:wordWrap/>
        <w:overflowPunct/>
        <w:topLinePunct w:val="0"/>
        <w:autoSpaceDE/>
        <w:autoSpaceDN/>
        <w:bidi w:val="0"/>
        <w:snapToGrid/>
        <w:jc w:val="center"/>
        <w:textAlignment w:val="auto"/>
        <w:outlineLvl w:val="9"/>
        <w:rPr>
          <w:rFonts w:ascii="仿宋" w:hAnsi="仿宋" w:eastAsia="仿宋"/>
          <w:b/>
          <w:sz w:val="32"/>
          <w:szCs w:val="32"/>
          <w:highlight w:val="none"/>
        </w:rPr>
      </w:pPr>
      <w:r>
        <w:rPr>
          <w:rFonts w:ascii="仿宋" w:hAnsi="仿宋" w:eastAsia="仿宋" w:cs="宋体"/>
          <w:sz w:val="24"/>
          <w:highlight w:val="none"/>
        </w:rPr>
        <w:t>1、</w:t>
      </w:r>
      <w:bookmarkEnd w:id="82"/>
      <w:bookmarkEnd w:id="83"/>
      <w:bookmarkEnd w:id="84"/>
      <w:bookmarkEnd w:id="85"/>
      <w:bookmarkEnd w:id="86"/>
      <w:r>
        <w:rPr>
          <w:rFonts w:hint="eastAsia" w:ascii="仿宋" w:hAnsi="仿宋" w:eastAsia="仿宋" w:cs="宋体"/>
          <w:sz w:val="24"/>
          <w:highlight w:val="none"/>
        </w:rPr>
        <w:t>从业人员、营业收入、资产总额填报上一年度数据，无上一年度数据的新成立企业可不填报。</w:t>
      </w:r>
      <w:r>
        <w:rPr>
          <w:rFonts w:hint="eastAsia" w:ascii="仿宋" w:hAnsi="仿宋" w:eastAsia="仿宋" w:cs="宋体"/>
          <w:sz w:val="24"/>
          <w:highlight w:val="none"/>
        </w:rPr>
        <w:br w:type="page"/>
      </w:r>
      <w:r>
        <w:rPr>
          <w:rFonts w:hint="eastAsia" w:ascii="仿宋" w:hAnsi="仿宋" w:eastAsia="仿宋"/>
          <w:b/>
          <w:sz w:val="32"/>
          <w:szCs w:val="32"/>
          <w:highlight w:val="none"/>
        </w:rPr>
        <w:t>残疾人福利性单位声明函</w:t>
      </w:r>
    </w:p>
    <w:p w14:paraId="49F7FB35">
      <w:pPr>
        <w:pageBreakBefore w:val="0"/>
        <w:kinsoku/>
        <w:wordWrap/>
        <w:overflowPunct/>
        <w:topLinePunct w:val="0"/>
        <w:autoSpaceDE/>
        <w:autoSpaceDN/>
        <w:bidi w:val="0"/>
        <w:snapToGrid/>
        <w:spacing w:line="588" w:lineRule="exact"/>
        <w:textAlignment w:val="auto"/>
        <w:outlineLvl w:val="9"/>
        <w:rPr>
          <w:rFonts w:ascii="仿宋" w:hAnsi="仿宋" w:eastAsia="仿宋" w:cs="宋体"/>
          <w:b/>
          <w:spacing w:val="6"/>
          <w:sz w:val="24"/>
          <w:highlight w:val="none"/>
        </w:rPr>
      </w:pPr>
    </w:p>
    <w:p w14:paraId="5AA2CAD3">
      <w:pPr>
        <w:pageBreakBefore w:val="0"/>
        <w:kinsoku/>
        <w:wordWrap/>
        <w:overflowPunct/>
        <w:topLinePunct w:val="0"/>
        <w:autoSpaceDE/>
        <w:autoSpaceDN/>
        <w:bidi w:val="0"/>
        <w:snapToGrid/>
        <w:spacing w:line="588" w:lineRule="exact"/>
        <w:ind w:firstLine="504" w:firstLineChars="200"/>
        <w:textAlignment w:val="auto"/>
        <w:outlineLvl w:val="9"/>
        <w:rPr>
          <w:rFonts w:ascii="仿宋" w:hAnsi="仿宋" w:eastAsia="仿宋" w:cs="宋体"/>
          <w:spacing w:val="6"/>
          <w:sz w:val="24"/>
          <w:highlight w:val="none"/>
        </w:rPr>
      </w:pPr>
      <w:r>
        <w:rPr>
          <w:rFonts w:hint="eastAsia" w:ascii="仿宋" w:hAnsi="仿宋" w:eastAsia="仿宋" w:cs="宋体"/>
          <w:spacing w:val="6"/>
          <w:sz w:val="24"/>
          <w:highlight w:val="none"/>
        </w:rPr>
        <w:t>本单位郑重声明，根据《财政部 民政部 中国残疾人联合会关于促进残疾人就业政府采购政策的通知》（财库</w:t>
      </w:r>
      <w:r>
        <w:rPr>
          <w:rFonts w:hint="eastAsia" w:ascii="仿宋" w:hAnsi="仿宋" w:eastAsia="仿宋" w:cs="宋体"/>
          <w:sz w:val="24"/>
          <w:highlight w:val="none"/>
        </w:rPr>
        <w:t>〔2017〕 141</w:t>
      </w:r>
      <w:r>
        <w:rPr>
          <w:rFonts w:hint="eastAsia" w:ascii="仿宋" w:hAnsi="仿宋" w:eastAsia="仿宋" w:cs="宋体"/>
          <w:spacing w:val="6"/>
          <w:sz w:val="24"/>
          <w:highlight w:val="none"/>
        </w:rPr>
        <w:t>号）的规定，本单位为符合条件的残疾人福利性单位，且本单位参加</w:t>
      </w:r>
      <w:r>
        <w:rPr>
          <w:rFonts w:hint="eastAsia" w:ascii="仿宋" w:hAnsi="仿宋" w:eastAsia="仿宋"/>
          <w:sz w:val="24"/>
          <w:highlight w:val="none"/>
          <w:u w:val="single"/>
        </w:rPr>
        <w:t>XXXX</w:t>
      </w:r>
      <w:r>
        <w:rPr>
          <w:rFonts w:hint="eastAsia" w:ascii="仿宋" w:hAnsi="仿宋" w:eastAsia="仿宋" w:cs="宋体"/>
          <w:spacing w:val="6"/>
          <w:sz w:val="24"/>
          <w:highlight w:val="none"/>
        </w:rPr>
        <w:t>单位的</w:t>
      </w:r>
      <w:r>
        <w:rPr>
          <w:rFonts w:hint="eastAsia" w:ascii="仿宋" w:hAnsi="仿宋" w:eastAsia="仿宋"/>
          <w:sz w:val="24"/>
          <w:highlight w:val="none"/>
          <w:u w:val="single"/>
        </w:rPr>
        <w:t>XXXX</w:t>
      </w:r>
      <w:r>
        <w:rPr>
          <w:rFonts w:hint="eastAsia" w:ascii="仿宋" w:hAnsi="仿宋" w:eastAsia="仿宋"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51FB431B">
      <w:pPr>
        <w:pageBreakBefore w:val="0"/>
        <w:kinsoku/>
        <w:wordWrap/>
        <w:overflowPunct/>
        <w:topLinePunct w:val="0"/>
        <w:autoSpaceDE/>
        <w:autoSpaceDN/>
        <w:bidi w:val="0"/>
        <w:snapToGrid/>
        <w:spacing w:line="588" w:lineRule="exact"/>
        <w:ind w:firstLine="504" w:firstLineChars="200"/>
        <w:textAlignment w:val="auto"/>
        <w:outlineLvl w:val="9"/>
        <w:rPr>
          <w:rFonts w:ascii="仿宋" w:hAnsi="仿宋" w:eastAsia="仿宋" w:cs="宋体"/>
          <w:spacing w:val="6"/>
          <w:sz w:val="24"/>
          <w:highlight w:val="none"/>
        </w:rPr>
      </w:pPr>
      <w:r>
        <w:rPr>
          <w:rFonts w:hint="eastAsia" w:ascii="仿宋" w:hAnsi="仿宋" w:eastAsia="仿宋" w:cs="宋体"/>
          <w:spacing w:val="6"/>
          <w:sz w:val="24"/>
          <w:highlight w:val="none"/>
        </w:rPr>
        <w:t>本单位对上述声明的真实性负责。如有虚假，将依法承担相应责任。</w:t>
      </w:r>
    </w:p>
    <w:p w14:paraId="0AD7B8C8">
      <w:pPr>
        <w:pageBreakBefore w:val="0"/>
        <w:kinsoku/>
        <w:wordWrap/>
        <w:overflowPunct/>
        <w:topLinePunct w:val="0"/>
        <w:autoSpaceDE/>
        <w:autoSpaceDN/>
        <w:bidi w:val="0"/>
        <w:snapToGrid/>
        <w:spacing w:line="588" w:lineRule="exact"/>
        <w:textAlignment w:val="auto"/>
        <w:outlineLvl w:val="9"/>
        <w:rPr>
          <w:rFonts w:ascii="仿宋" w:hAnsi="仿宋" w:eastAsia="仿宋" w:cs="宋体"/>
          <w:spacing w:val="6"/>
          <w:sz w:val="24"/>
          <w:highlight w:val="none"/>
        </w:rPr>
      </w:pPr>
    </w:p>
    <w:p w14:paraId="7CA9D8B3">
      <w:pPr>
        <w:pageBreakBefore w:val="0"/>
        <w:kinsoku/>
        <w:wordWrap/>
        <w:overflowPunct/>
        <w:topLinePunct w:val="0"/>
        <w:autoSpaceDE/>
        <w:autoSpaceDN/>
        <w:bidi w:val="0"/>
        <w:snapToGrid/>
        <w:spacing w:line="588" w:lineRule="exact"/>
        <w:textAlignment w:val="auto"/>
        <w:outlineLvl w:val="9"/>
        <w:rPr>
          <w:rFonts w:ascii="仿宋" w:hAnsi="仿宋" w:eastAsia="仿宋" w:cs="宋体"/>
          <w:spacing w:val="6"/>
          <w:sz w:val="24"/>
          <w:highlight w:val="none"/>
        </w:rPr>
      </w:pPr>
    </w:p>
    <w:p w14:paraId="79A99C98">
      <w:pPr>
        <w:pageBreakBefore w:val="0"/>
        <w:kinsoku/>
        <w:wordWrap/>
        <w:overflowPunct/>
        <w:topLinePunct w:val="0"/>
        <w:autoSpaceDE/>
        <w:autoSpaceDN/>
        <w:bidi w:val="0"/>
        <w:snapToGrid/>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单位名称：XXXX（盖单位公章）</w:t>
      </w:r>
    </w:p>
    <w:p w14:paraId="28413016">
      <w:pPr>
        <w:pageBreakBefore w:val="0"/>
        <w:kinsoku/>
        <w:wordWrap/>
        <w:overflowPunct/>
        <w:topLinePunct w:val="0"/>
        <w:autoSpaceDE/>
        <w:autoSpaceDN/>
        <w:bidi w:val="0"/>
        <w:snapToGrid/>
        <w:ind w:firstLine="480" w:firstLineChars="200"/>
        <w:jc w:val="left"/>
        <w:textAlignment w:val="auto"/>
        <w:outlineLvl w:val="9"/>
        <w:rPr>
          <w:rFonts w:ascii="仿宋" w:hAnsi="仿宋" w:eastAsia="仿宋"/>
          <w:sz w:val="24"/>
          <w:highlight w:val="none"/>
        </w:rPr>
      </w:pPr>
    </w:p>
    <w:p w14:paraId="78671F26">
      <w:pPr>
        <w:pageBreakBefore w:val="0"/>
        <w:kinsoku/>
        <w:wordWrap/>
        <w:overflowPunct/>
        <w:topLinePunct w:val="0"/>
        <w:autoSpaceDE/>
        <w:autoSpaceDN/>
        <w:bidi w:val="0"/>
        <w:snapToGrid/>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日期：XXXX</w:t>
      </w:r>
    </w:p>
    <w:p w14:paraId="7F1F8925">
      <w:pPr>
        <w:pageBreakBefore w:val="0"/>
        <w:kinsoku/>
        <w:wordWrap/>
        <w:overflowPunct/>
        <w:topLinePunct w:val="0"/>
        <w:autoSpaceDE/>
        <w:autoSpaceDN/>
        <w:bidi w:val="0"/>
        <w:snapToGrid/>
        <w:spacing w:line="360" w:lineRule="auto"/>
        <w:textAlignment w:val="auto"/>
        <w:outlineLvl w:val="9"/>
        <w:rPr>
          <w:rFonts w:ascii="仿宋" w:hAnsi="仿宋" w:eastAsia="仿宋" w:cs="宋体"/>
          <w:sz w:val="24"/>
          <w:highlight w:val="none"/>
        </w:rPr>
      </w:pPr>
    </w:p>
    <w:p w14:paraId="3E8C0EFD">
      <w:pPr>
        <w:pageBreakBefore w:val="0"/>
        <w:kinsoku/>
        <w:wordWrap/>
        <w:overflowPunct/>
        <w:topLinePunct w:val="0"/>
        <w:autoSpaceDE/>
        <w:autoSpaceDN/>
        <w:bidi w:val="0"/>
        <w:snapToGrid/>
        <w:spacing w:line="360" w:lineRule="auto"/>
        <w:textAlignment w:val="auto"/>
        <w:outlineLvl w:val="9"/>
        <w:rPr>
          <w:rFonts w:ascii="仿宋" w:hAnsi="仿宋" w:eastAsia="仿宋" w:cs="宋体"/>
          <w:sz w:val="24"/>
          <w:highlight w:val="none"/>
        </w:rPr>
      </w:pPr>
      <w:r>
        <w:rPr>
          <w:rFonts w:hint="eastAsia" w:ascii="仿宋" w:hAnsi="仿宋" w:eastAsia="仿宋" w:cs="宋体"/>
          <w:sz w:val="24"/>
          <w:highlight w:val="none"/>
        </w:rPr>
        <w:t>注：</w:t>
      </w:r>
    </w:p>
    <w:p w14:paraId="6BD054F7">
      <w:pPr>
        <w:pageBreakBefore w:val="0"/>
        <w:numPr>
          <w:ilvl w:val="0"/>
          <w:numId w:val="5"/>
        </w:numPr>
        <w:kinsoku/>
        <w:wordWrap/>
        <w:overflowPunct/>
        <w:topLinePunct w:val="0"/>
        <w:autoSpaceDE/>
        <w:autoSpaceDN/>
        <w:bidi w:val="0"/>
        <w:snapToGrid/>
        <w:spacing w:after="160" w:line="360" w:lineRule="auto"/>
        <w:textAlignment w:val="auto"/>
        <w:outlineLvl w:val="9"/>
        <w:rPr>
          <w:rFonts w:ascii="仿宋" w:hAnsi="仿宋" w:eastAsia="仿宋" w:cs="宋体"/>
          <w:sz w:val="24"/>
          <w:highlight w:val="none"/>
        </w:rPr>
      </w:pPr>
      <w:r>
        <w:rPr>
          <w:rFonts w:hint="eastAsia" w:ascii="仿宋" w:hAnsi="仿宋" w:eastAsia="仿宋" w:cs="宋体"/>
          <w:sz w:val="24"/>
          <w:highlight w:val="none"/>
        </w:rPr>
        <w:t>残疾人福利性单位视同小型、微型企业，享受预留份额、评审中价格扣除等促进中小企业发展的政府采购政策。残疾人福利性单位属于小型、微型企业的，不重复享受政策。</w:t>
      </w:r>
    </w:p>
    <w:p w14:paraId="241A5B3C">
      <w:pPr>
        <w:pageBreakBefore w:val="0"/>
        <w:numPr>
          <w:ilvl w:val="0"/>
          <w:numId w:val="5"/>
        </w:numPr>
        <w:kinsoku/>
        <w:wordWrap/>
        <w:overflowPunct/>
        <w:topLinePunct w:val="0"/>
        <w:autoSpaceDE/>
        <w:autoSpaceDN/>
        <w:bidi w:val="0"/>
        <w:snapToGrid/>
        <w:spacing w:after="160" w:line="360" w:lineRule="auto"/>
        <w:textAlignment w:val="auto"/>
        <w:outlineLvl w:val="9"/>
        <w:rPr>
          <w:rFonts w:ascii="仿宋" w:hAnsi="仿宋" w:eastAsia="仿宋" w:cs="宋体"/>
          <w:sz w:val="24"/>
          <w:highlight w:val="none"/>
        </w:rPr>
      </w:pPr>
      <w:r>
        <w:rPr>
          <w:rFonts w:hint="eastAsia" w:ascii="仿宋" w:hAnsi="仿宋" w:eastAsia="仿宋" w:cs="宋体"/>
          <w:sz w:val="24"/>
          <w:highlight w:val="none"/>
        </w:rPr>
        <w:t>供应商为非残疾人福利性单位的，可不提供此声明。</w:t>
      </w:r>
    </w:p>
    <w:p w14:paraId="6A982245">
      <w:pPr>
        <w:pageBreakBefore w:val="0"/>
        <w:widowControl/>
        <w:kinsoku/>
        <w:wordWrap/>
        <w:overflowPunct/>
        <w:topLinePunct w:val="0"/>
        <w:autoSpaceDE/>
        <w:autoSpaceDN/>
        <w:bidi w:val="0"/>
        <w:snapToGrid/>
        <w:jc w:val="left"/>
        <w:textAlignment w:val="auto"/>
        <w:outlineLvl w:val="9"/>
        <w:rPr>
          <w:rFonts w:ascii="仿宋" w:hAnsi="仿宋" w:eastAsia="仿宋"/>
          <w:sz w:val="24"/>
          <w:highlight w:val="none"/>
        </w:rPr>
      </w:pPr>
      <w:r>
        <w:rPr>
          <w:rFonts w:ascii="仿宋" w:hAnsi="仿宋" w:eastAsia="仿宋"/>
          <w:sz w:val="24"/>
          <w:highlight w:val="none"/>
        </w:rPr>
        <w:br w:type="page"/>
      </w:r>
    </w:p>
    <w:p w14:paraId="259A7EE0">
      <w:pPr>
        <w:pageBreakBefore w:val="0"/>
        <w:kinsoku/>
        <w:wordWrap/>
        <w:overflowPunct/>
        <w:topLinePunct w:val="0"/>
        <w:autoSpaceDE/>
        <w:autoSpaceDN/>
        <w:bidi w:val="0"/>
        <w:snapToGrid/>
        <w:spacing w:line="400" w:lineRule="exact"/>
        <w:jc w:val="center"/>
        <w:textAlignment w:val="auto"/>
        <w:outlineLvl w:val="9"/>
        <w:rPr>
          <w:rFonts w:ascii="仿宋" w:hAnsi="仿宋" w:eastAsia="仿宋"/>
          <w:b/>
          <w:bCs/>
          <w:sz w:val="32"/>
          <w:szCs w:val="32"/>
          <w:highlight w:val="none"/>
        </w:rPr>
      </w:pPr>
      <w:r>
        <w:rPr>
          <w:rFonts w:hint="eastAsia" w:ascii="仿宋" w:hAnsi="仿宋" w:eastAsia="仿宋"/>
          <w:b/>
          <w:bCs/>
          <w:sz w:val="32"/>
          <w:szCs w:val="32"/>
          <w:highlight w:val="none"/>
        </w:rPr>
        <w:t>监狱企业</w:t>
      </w:r>
    </w:p>
    <w:p w14:paraId="75259950">
      <w:pPr>
        <w:pageBreakBefore w:val="0"/>
        <w:kinsoku/>
        <w:wordWrap/>
        <w:overflowPunct/>
        <w:topLinePunct w:val="0"/>
        <w:autoSpaceDE/>
        <w:autoSpaceDN/>
        <w:bidi w:val="0"/>
        <w:snapToGrid/>
        <w:spacing w:line="400" w:lineRule="exact"/>
        <w:jc w:val="center"/>
        <w:textAlignment w:val="auto"/>
        <w:outlineLvl w:val="9"/>
        <w:rPr>
          <w:rFonts w:ascii="仿宋" w:hAnsi="仿宋" w:eastAsia="仿宋"/>
          <w:b/>
          <w:bCs/>
          <w:sz w:val="32"/>
          <w:szCs w:val="32"/>
          <w:highlight w:val="none"/>
        </w:rPr>
      </w:pPr>
    </w:p>
    <w:p w14:paraId="6BFE1DBC">
      <w:pPr>
        <w:pageBreakBefore w:val="0"/>
        <w:kinsoku/>
        <w:wordWrap/>
        <w:overflowPunct/>
        <w:topLinePunct w:val="0"/>
        <w:autoSpaceDE/>
        <w:autoSpaceDN/>
        <w:bidi w:val="0"/>
        <w:snapToGrid/>
        <w:spacing w:line="588" w:lineRule="exact"/>
        <w:ind w:firstLine="504" w:firstLineChars="200"/>
        <w:textAlignment w:val="auto"/>
        <w:outlineLvl w:val="9"/>
        <w:rPr>
          <w:rFonts w:hint="eastAsia" w:ascii="仿宋" w:hAnsi="仿宋" w:eastAsia="仿宋" w:cs="宋体"/>
          <w:spacing w:val="6"/>
          <w:sz w:val="24"/>
          <w:highlight w:val="none"/>
        </w:rPr>
      </w:pPr>
      <w:r>
        <w:rPr>
          <w:rFonts w:hint="eastAsia" w:ascii="仿宋" w:hAnsi="仿宋" w:eastAsia="仿宋" w:cs="宋体"/>
          <w:spacing w:val="6"/>
          <w:sz w:val="24"/>
          <w:highlight w:val="none"/>
        </w:rPr>
        <w:t>根据《政府采购支持监狱企业发展有关问题的通知》（财库〔2014〕68号）的规定监狱企业参加采购活动的，应提供由省级以上监狱管理局、戒毒管理局(含新疆生产建设兵团)出具的属于监狱企业的证明文件。</w:t>
      </w:r>
    </w:p>
    <w:p w14:paraId="1BC510AF">
      <w:pPr>
        <w:pageBreakBefore w:val="0"/>
        <w:kinsoku/>
        <w:wordWrap/>
        <w:overflowPunct/>
        <w:topLinePunct w:val="0"/>
        <w:autoSpaceDE/>
        <w:autoSpaceDN/>
        <w:bidi w:val="0"/>
        <w:snapToGrid/>
        <w:spacing w:line="588" w:lineRule="exact"/>
        <w:ind w:firstLine="504" w:firstLineChars="200"/>
        <w:textAlignment w:val="auto"/>
        <w:outlineLvl w:val="9"/>
        <w:rPr>
          <w:rFonts w:hint="eastAsia" w:ascii="仿宋" w:hAnsi="仿宋" w:eastAsia="仿宋" w:cs="宋体"/>
          <w:spacing w:val="6"/>
          <w:sz w:val="24"/>
          <w:highlight w:val="none"/>
        </w:rPr>
      </w:pPr>
      <w:r>
        <w:rPr>
          <w:rFonts w:hint="eastAsia" w:ascii="仿宋" w:hAnsi="仿宋" w:eastAsia="仿宋" w:cs="宋体"/>
          <w:spacing w:val="6"/>
          <w:sz w:val="24"/>
          <w:highlight w:val="none"/>
        </w:rPr>
        <w:t>注：</w:t>
      </w:r>
    </w:p>
    <w:p w14:paraId="06230A41">
      <w:pPr>
        <w:pageBreakBefore w:val="0"/>
        <w:kinsoku/>
        <w:wordWrap/>
        <w:overflowPunct/>
        <w:topLinePunct w:val="0"/>
        <w:autoSpaceDE/>
        <w:autoSpaceDN/>
        <w:bidi w:val="0"/>
        <w:snapToGrid/>
        <w:spacing w:line="588" w:lineRule="exact"/>
        <w:ind w:firstLine="504" w:firstLineChars="200"/>
        <w:textAlignment w:val="auto"/>
        <w:outlineLvl w:val="9"/>
        <w:rPr>
          <w:rFonts w:hint="eastAsia" w:ascii="仿宋" w:hAnsi="仿宋" w:eastAsia="仿宋" w:cs="宋体"/>
          <w:spacing w:val="6"/>
          <w:sz w:val="24"/>
          <w:highlight w:val="none"/>
        </w:rPr>
      </w:pPr>
      <w:r>
        <w:rPr>
          <w:rFonts w:hint="eastAsia" w:ascii="仿宋" w:hAnsi="仿宋" w:eastAsia="仿宋" w:cs="宋体"/>
          <w:spacing w:val="6"/>
          <w:sz w:val="24"/>
          <w:highlight w:val="none"/>
        </w:rPr>
        <w:t>1、供应商符合《政府采购支持监狱企业发展有关问题的通知》（财库〔2014〕68号）规定的划分标准为监狱企业适用。</w:t>
      </w:r>
    </w:p>
    <w:p w14:paraId="32B66A82">
      <w:pPr>
        <w:pageBreakBefore w:val="0"/>
        <w:kinsoku/>
        <w:wordWrap/>
        <w:overflowPunct/>
        <w:topLinePunct w:val="0"/>
        <w:autoSpaceDE/>
        <w:autoSpaceDN/>
        <w:bidi w:val="0"/>
        <w:snapToGrid/>
        <w:spacing w:line="588" w:lineRule="exact"/>
        <w:ind w:firstLine="504" w:firstLineChars="200"/>
        <w:textAlignment w:val="auto"/>
        <w:outlineLvl w:val="9"/>
        <w:rPr>
          <w:rFonts w:hint="eastAsia" w:ascii="仿宋" w:hAnsi="仿宋" w:eastAsia="仿宋" w:cs="宋体"/>
          <w:spacing w:val="6"/>
          <w:sz w:val="24"/>
          <w:highlight w:val="none"/>
        </w:rPr>
      </w:pPr>
      <w:r>
        <w:rPr>
          <w:rFonts w:hint="eastAsia" w:ascii="仿宋" w:hAnsi="仿宋" w:eastAsia="仿宋" w:cs="宋体"/>
          <w:spacing w:val="6"/>
          <w:sz w:val="24"/>
          <w:highlight w:val="none"/>
        </w:rPr>
        <w:t>2、在政府采购活动中，监狱企业视同小型、微型企业，享受预留份额、评审中价格扣除等政府采购促进中小企业发展的政府采购政策。</w:t>
      </w:r>
    </w:p>
    <w:p w14:paraId="58F7D684">
      <w:pPr>
        <w:pageBreakBefore w:val="0"/>
        <w:kinsoku/>
        <w:wordWrap/>
        <w:overflowPunct/>
        <w:topLinePunct w:val="0"/>
        <w:autoSpaceDE/>
        <w:autoSpaceDN/>
        <w:bidi w:val="0"/>
        <w:snapToGrid/>
        <w:spacing w:line="588" w:lineRule="exact"/>
        <w:ind w:firstLine="504" w:firstLineChars="200"/>
        <w:textAlignment w:val="auto"/>
        <w:outlineLvl w:val="9"/>
        <w:rPr>
          <w:rFonts w:hint="eastAsia" w:ascii="仿宋" w:hAnsi="仿宋" w:eastAsia="仿宋" w:cs="宋体"/>
          <w:spacing w:val="6"/>
          <w:sz w:val="24"/>
          <w:highlight w:val="none"/>
        </w:rPr>
      </w:pPr>
      <w:r>
        <w:rPr>
          <w:rFonts w:hint="eastAsia" w:ascii="仿宋" w:hAnsi="仿宋" w:eastAsia="仿宋" w:cs="宋体"/>
          <w:spacing w:val="6"/>
          <w:sz w:val="24"/>
          <w:highlight w:val="none"/>
        </w:rPr>
        <w:br w:type="page"/>
      </w:r>
    </w:p>
    <w:p w14:paraId="2EE41322">
      <w:pPr>
        <w:rPr>
          <w:rFonts w:hint="eastAsia" w:ascii="仿宋" w:hAnsi="仿宋" w:eastAsia="仿宋"/>
          <w:b/>
          <w:sz w:val="32"/>
          <w:szCs w:val="32"/>
          <w:highlight w:val="none"/>
        </w:rPr>
      </w:pPr>
    </w:p>
    <w:p w14:paraId="75932CC7">
      <w:pPr>
        <w:pStyle w:val="2"/>
        <w:keepNext/>
        <w:keepLines/>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theme="minorBidi"/>
          <w:b/>
          <w:bCs/>
          <w:color w:val="000000"/>
          <w:kern w:val="44"/>
          <w:sz w:val="36"/>
          <w:szCs w:val="36"/>
          <w:highlight w:val="none"/>
          <w:lang w:val="en-US" w:eastAsia="zh-CN" w:bidi="ar-SA"/>
        </w:rPr>
      </w:pPr>
      <w:bookmarkStart w:id="87" w:name="_Toc18483"/>
      <w:r>
        <w:rPr>
          <w:rFonts w:hint="eastAsia" w:ascii="仿宋" w:hAnsi="仿宋" w:eastAsia="仿宋"/>
          <w:b/>
          <w:bCs w:val="0"/>
          <w:color w:val="000000"/>
          <w:sz w:val="36"/>
          <w:szCs w:val="36"/>
          <w:highlight w:val="none"/>
        </w:rPr>
        <w:t>第</w:t>
      </w:r>
      <w:r>
        <w:rPr>
          <w:rFonts w:hint="eastAsia" w:ascii="仿宋" w:hAnsi="仿宋" w:eastAsia="仿宋"/>
          <w:b/>
          <w:bCs w:val="0"/>
          <w:color w:val="000000"/>
          <w:sz w:val="36"/>
          <w:szCs w:val="36"/>
          <w:highlight w:val="none"/>
          <w:lang w:eastAsia="zh-CN"/>
        </w:rPr>
        <w:t>七</w:t>
      </w:r>
      <w:r>
        <w:rPr>
          <w:rFonts w:hint="eastAsia" w:ascii="仿宋" w:hAnsi="仿宋" w:eastAsia="仿宋"/>
          <w:b/>
          <w:bCs w:val="0"/>
          <w:color w:val="000000"/>
          <w:sz w:val="36"/>
          <w:szCs w:val="36"/>
          <w:highlight w:val="none"/>
        </w:rPr>
        <w:t>章 评审办法</w:t>
      </w:r>
      <w:bookmarkEnd w:id="50"/>
      <w:bookmarkEnd w:id="87"/>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14:paraId="60AC6EF4">
      <w:pPr>
        <w:pStyle w:val="3"/>
        <w:keepNext w:val="0"/>
        <w:keepLines w:val="0"/>
        <w:pageBreakBefore w:val="0"/>
        <w:kinsoku/>
        <w:wordWrap/>
        <w:overflowPunct/>
        <w:topLinePunct w:val="0"/>
        <w:autoSpaceDE/>
        <w:autoSpaceDN/>
        <w:bidi w:val="0"/>
        <w:snapToGrid/>
        <w:spacing w:before="0" w:after="0" w:line="360" w:lineRule="auto"/>
        <w:ind w:firstLine="472" w:firstLineChars="196"/>
        <w:textAlignment w:val="auto"/>
        <w:rPr>
          <w:rFonts w:ascii="仿宋" w:hAnsi="仿宋" w:eastAsia="仿宋"/>
          <w:sz w:val="24"/>
          <w:szCs w:val="24"/>
          <w:highlight w:val="none"/>
        </w:rPr>
      </w:pPr>
      <w:bookmarkStart w:id="88" w:name="_Toc62832470"/>
      <w:r>
        <w:rPr>
          <w:rFonts w:hint="eastAsia" w:ascii="仿宋" w:hAnsi="仿宋" w:eastAsia="仿宋"/>
          <w:sz w:val="24"/>
          <w:szCs w:val="24"/>
          <w:highlight w:val="none"/>
        </w:rPr>
        <w:t>1.总则</w:t>
      </w:r>
    </w:p>
    <w:p w14:paraId="69C18313">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 xml:space="preserve">1.1 </w:t>
      </w:r>
      <w:r>
        <w:rPr>
          <w:rFonts w:hint="eastAsia" w:ascii="仿宋" w:hAnsi="仿宋" w:eastAsia="仿宋"/>
          <w:b w:val="0"/>
          <w:sz w:val="24"/>
          <w:szCs w:val="24"/>
          <w:highlight w:val="none"/>
          <w:lang w:eastAsia="zh-CN"/>
        </w:rPr>
        <w:t>参照</w:t>
      </w:r>
      <w:r>
        <w:rPr>
          <w:rFonts w:hint="eastAsia" w:ascii="仿宋" w:hAnsi="仿宋" w:eastAsia="仿宋"/>
          <w:b w:val="0"/>
          <w:sz w:val="24"/>
          <w:szCs w:val="24"/>
          <w:highlight w:val="none"/>
        </w:rPr>
        <w:t>《中华人民共和国政府采购法》、《中华人民共和国政府采购法实施条例》、《政府采购竞争性</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采购方式管理暂行办法》等法律制度，结合本采购项目特点制定本</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方法。</w:t>
      </w:r>
    </w:p>
    <w:p w14:paraId="47551E1E">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 xml:space="preserve">1.2 </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工作由采购代理机构负责组织，具体</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由采购代理机构依法组建的</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小组负责。</w:t>
      </w:r>
    </w:p>
    <w:p w14:paraId="2960DB6B">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 xml:space="preserve">1.3 </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工作应遵循公平、公正、科学及择优的原则，并以相同的</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程序和标准对待所有的供应商。</w:t>
      </w:r>
    </w:p>
    <w:p w14:paraId="583005EE">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 xml:space="preserve">1.4 </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小组按照</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文件规定的</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程序、评分方法和标准进行评审，并独立履行下列职责：</w:t>
      </w:r>
    </w:p>
    <w:p w14:paraId="3837E0E5">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1</w:t>
      </w:r>
      <w:r>
        <w:rPr>
          <w:rFonts w:hint="eastAsia" w:ascii="仿宋" w:hAnsi="仿宋" w:eastAsia="仿宋"/>
          <w:b w:val="0"/>
          <w:sz w:val="24"/>
          <w:szCs w:val="24"/>
          <w:highlight w:val="none"/>
        </w:rPr>
        <w:t>）熟悉和理解</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文件，确定</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文件内容是否违反国家有关强制性规定或者</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文件存在歧义、重大缺陷，根据需要书面要求采购人、采购代理机构对</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文件作出解释；</w:t>
      </w:r>
    </w:p>
    <w:p w14:paraId="765A02A6">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2</w:t>
      </w:r>
      <w:r>
        <w:rPr>
          <w:rFonts w:hint="eastAsia" w:ascii="仿宋" w:hAnsi="仿宋" w:eastAsia="仿宋"/>
          <w:b w:val="0"/>
          <w:sz w:val="24"/>
          <w:szCs w:val="24"/>
          <w:highlight w:val="none"/>
        </w:rPr>
        <w:t>）审查供应商响应文件是否满足</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文件要求，并作出公正评价；</w:t>
      </w:r>
    </w:p>
    <w:p w14:paraId="44361937">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3</w:t>
      </w:r>
      <w:r>
        <w:rPr>
          <w:rFonts w:hint="eastAsia" w:ascii="仿宋" w:hAnsi="仿宋" w:eastAsia="仿宋"/>
          <w:b w:val="0"/>
          <w:sz w:val="24"/>
          <w:szCs w:val="24"/>
          <w:highlight w:val="none"/>
        </w:rPr>
        <w:t>）根据需要要求供应商对响应文件中含义不明确、同类问题表述不一致或者有明显文字和计算错误的内容等作出必要的澄清、说明或者更正；</w:t>
      </w:r>
    </w:p>
    <w:p w14:paraId="03756A9D">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4</w:t>
      </w:r>
      <w:r>
        <w:rPr>
          <w:rFonts w:hint="eastAsia" w:ascii="仿宋" w:hAnsi="仿宋" w:eastAsia="仿宋"/>
          <w:b w:val="0"/>
          <w:sz w:val="24"/>
          <w:szCs w:val="24"/>
          <w:highlight w:val="none"/>
        </w:rPr>
        <w:t>）推荐成交供应商，或者受采购人委托确定成交供应商；</w:t>
      </w:r>
    </w:p>
    <w:p w14:paraId="65A5DCAD">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）起草评审报告并进行签署；</w:t>
      </w:r>
    </w:p>
    <w:p w14:paraId="6255C8D1">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6</w:t>
      </w:r>
      <w:r>
        <w:rPr>
          <w:rFonts w:hint="eastAsia" w:ascii="仿宋" w:hAnsi="仿宋" w:eastAsia="仿宋"/>
          <w:b w:val="0"/>
          <w:sz w:val="24"/>
          <w:szCs w:val="24"/>
          <w:highlight w:val="none"/>
        </w:rPr>
        <w:t>）向采购人/采购代理机构监督部门报告非法干预评审工作的行为；</w:t>
      </w:r>
    </w:p>
    <w:p w14:paraId="1C7DA3FA">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7</w:t>
      </w:r>
      <w:r>
        <w:rPr>
          <w:rFonts w:hint="eastAsia" w:ascii="仿宋" w:hAnsi="仿宋" w:eastAsia="仿宋"/>
          <w:b w:val="0"/>
          <w:sz w:val="24"/>
          <w:szCs w:val="24"/>
          <w:highlight w:val="none"/>
        </w:rPr>
        <w:t>）法律、法规和规章规定的其他职责。</w:t>
      </w:r>
    </w:p>
    <w:p w14:paraId="38149288">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highlight w:val="none"/>
        </w:rPr>
      </w:pPr>
      <w:r>
        <w:rPr>
          <w:rFonts w:hint="eastAsia" w:ascii="仿宋" w:hAnsi="仿宋" w:eastAsia="仿宋"/>
          <w:b w:val="0"/>
          <w:sz w:val="24"/>
          <w:szCs w:val="24"/>
          <w:highlight w:val="none"/>
        </w:rPr>
        <w:t>1.5</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过程独立、保密。供应商非法干预</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过程的，其响应文件作无效处理。</w:t>
      </w:r>
    </w:p>
    <w:p w14:paraId="435C1AF7">
      <w:pPr>
        <w:pStyle w:val="3"/>
        <w:keepNext w:val="0"/>
        <w:keepLines w:val="0"/>
        <w:pageBreakBefore w:val="0"/>
        <w:kinsoku/>
        <w:wordWrap/>
        <w:overflowPunct/>
        <w:topLinePunct w:val="0"/>
        <w:autoSpaceDE/>
        <w:autoSpaceDN/>
        <w:bidi w:val="0"/>
        <w:snapToGrid/>
        <w:spacing w:before="0" w:after="0" w:line="360" w:lineRule="auto"/>
        <w:ind w:firstLine="472" w:firstLineChars="196"/>
        <w:textAlignment w:val="auto"/>
        <w:rPr>
          <w:rFonts w:ascii="仿宋" w:hAnsi="仿宋" w:eastAsia="仿宋"/>
          <w:sz w:val="24"/>
          <w:szCs w:val="24"/>
          <w:highlight w:val="none"/>
        </w:rPr>
      </w:pPr>
      <w:r>
        <w:rPr>
          <w:rFonts w:hint="eastAsia" w:ascii="仿宋" w:hAnsi="仿宋" w:eastAsia="仿宋"/>
          <w:sz w:val="24"/>
          <w:szCs w:val="24"/>
          <w:highlight w:val="none"/>
        </w:rPr>
        <w:t>2.</w:t>
      </w:r>
      <w:r>
        <w:rPr>
          <w:rFonts w:hint="eastAsia" w:ascii="仿宋" w:hAnsi="仿宋" w:eastAsia="仿宋"/>
          <w:sz w:val="24"/>
          <w:szCs w:val="24"/>
          <w:highlight w:val="none"/>
          <w:lang w:eastAsia="zh-CN"/>
        </w:rPr>
        <w:t>磋商</w:t>
      </w:r>
      <w:r>
        <w:rPr>
          <w:rFonts w:hint="eastAsia" w:ascii="仿宋" w:hAnsi="仿宋" w:eastAsia="仿宋"/>
          <w:sz w:val="24"/>
          <w:szCs w:val="24"/>
          <w:highlight w:val="none"/>
        </w:rPr>
        <w:t>程序</w:t>
      </w:r>
    </w:p>
    <w:p w14:paraId="37223CD0">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2.1审查</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文件和停止评审。</w:t>
      </w:r>
    </w:p>
    <w:p w14:paraId="2964B2E2">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 xml:space="preserve">2.1.1 </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小组正式评审前，应当对</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文件进行熟悉和理解，内容主要包括</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文件中供应商资格条件要求、采购项目技术、服务和商务要求、</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办法和标准、采购政策要求以及采购合同主要条款等。</w:t>
      </w:r>
    </w:p>
    <w:p w14:paraId="37ECFD33">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ascii="仿宋" w:hAnsi="仿宋" w:eastAsia="仿宋"/>
          <w:b/>
          <w:bCs w:val="0"/>
          <w:sz w:val="24"/>
          <w:szCs w:val="24"/>
          <w:highlight w:val="none"/>
        </w:rPr>
      </w:pPr>
      <w:r>
        <w:rPr>
          <w:rFonts w:hint="eastAsia" w:ascii="仿宋" w:hAnsi="仿宋" w:eastAsia="仿宋"/>
          <w:b/>
          <w:bCs w:val="0"/>
          <w:sz w:val="24"/>
          <w:szCs w:val="24"/>
          <w:highlight w:val="none"/>
        </w:rPr>
        <w:t>2.2资格性审查</w:t>
      </w:r>
    </w:p>
    <w:p w14:paraId="5E632BDF">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2.2.1本项目需要</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小组进行资格性</w:t>
      </w:r>
      <w:r>
        <w:rPr>
          <w:rFonts w:hint="eastAsia" w:ascii="仿宋" w:hAnsi="仿宋" w:eastAsia="仿宋"/>
          <w:b w:val="0"/>
          <w:sz w:val="24"/>
          <w:szCs w:val="24"/>
          <w:highlight w:val="none"/>
          <w:lang w:eastAsia="zh-CN"/>
        </w:rPr>
        <w:t>审查</w:t>
      </w:r>
      <w:r>
        <w:rPr>
          <w:rFonts w:hint="eastAsia" w:ascii="仿宋" w:hAnsi="仿宋" w:eastAsia="仿宋"/>
          <w:b w:val="0"/>
          <w:sz w:val="24"/>
          <w:szCs w:val="24"/>
          <w:highlight w:val="none"/>
        </w:rPr>
        <w:t>。</w:t>
      </w:r>
    </w:p>
    <w:p w14:paraId="7DB08D19">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小组应依据法律法规和</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文件的规定，对响应文件是否按照规定要求提供资格性证明材料、是否属于禁止参加</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的供应商等进行审查，以确定供应商是否具备</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资格。</w:t>
      </w:r>
    </w:p>
    <w:p w14:paraId="52CD1EB6">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2.2.2资格性审查结束后，</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小组应当出具资格性审查报告，没有通过资格审查的供应商，</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小组应当在资格审查报告中说明原因。</w:t>
      </w:r>
    </w:p>
    <w:p w14:paraId="75F5A7A6">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2.2.3采购人或者采购代理机构宣布未通过资格性审查的供应商名单时，应当告知供应商未通过审查的原因。</w:t>
      </w:r>
    </w:p>
    <w:p w14:paraId="7464A4CF">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sz w:val="24"/>
          <w:szCs w:val="24"/>
          <w:highlight w:val="none"/>
        </w:rPr>
      </w:pPr>
      <w:r>
        <w:rPr>
          <w:rFonts w:hint="eastAsia" w:ascii="仿宋" w:hAnsi="仿宋" w:eastAsia="仿宋"/>
          <w:b/>
          <w:bCs w:val="0"/>
          <w:sz w:val="24"/>
          <w:szCs w:val="24"/>
          <w:highlight w:val="none"/>
        </w:rPr>
        <w:t>2.3通过资格性审查的供应商不足3家的，终止本次采购活动，并发布终止采购活动公告。</w:t>
      </w:r>
    </w:p>
    <w:p w14:paraId="02C7BB71">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仿宋" w:hAnsi="仿宋" w:eastAsia="仿宋"/>
          <w:b w:val="0"/>
          <w:sz w:val="24"/>
          <w:szCs w:val="24"/>
          <w:highlight w:val="none"/>
          <w:lang w:val="zh-CN"/>
        </w:rPr>
      </w:pPr>
      <w:r>
        <w:rPr>
          <w:rFonts w:hint="eastAsia" w:ascii="仿宋" w:hAnsi="仿宋" w:eastAsia="仿宋"/>
          <w:b w:val="0"/>
          <w:sz w:val="24"/>
          <w:szCs w:val="24"/>
          <w:highlight w:val="none"/>
        </w:rPr>
        <w:t>2.3.1</w:t>
      </w:r>
      <w:r>
        <w:rPr>
          <w:rFonts w:hint="eastAsia" w:ascii="仿宋" w:hAnsi="仿宋" w:eastAsia="仿宋"/>
          <w:b w:val="0"/>
          <w:sz w:val="24"/>
          <w:szCs w:val="24"/>
          <w:highlight w:val="none"/>
          <w:lang w:val="zh-CN"/>
        </w:rPr>
        <w:t>参照《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14:paraId="0A7CD394">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2.4实质性响应审查</w:t>
      </w:r>
    </w:p>
    <w:p w14:paraId="01BEF597">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仿宋" w:hAnsi="仿宋" w:eastAsia="仿宋" w:cs="Times New Roman"/>
          <w:b w:val="0"/>
          <w:bCs w:val="0"/>
          <w:sz w:val="24"/>
          <w:highlight w:val="none"/>
          <w:lang w:val="en-US" w:eastAsia="zh-CN"/>
        </w:rPr>
      </w:pPr>
      <w:r>
        <w:rPr>
          <w:rFonts w:hint="eastAsia" w:ascii="仿宋" w:hAnsi="仿宋" w:eastAsia="仿宋" w:cs="Times New Roman"/>
          <w:b w:val="0"/>
          <w:bCs w:val="0"/>
          <w:sz w:val="24"/>
          <w:highlight w:val="none"/>
          <w:lang w:val="en-US" w:eastAsia="zh-CN"/>
        </w:rPr>
        <w:t>磋商开始前，磋商小组对供应商首次提交的响应文件（包括报价）进行审查，审查内容为磋商文件中的</w:t>
      </w:r>
      <w:r>
        <w:rPr>
          <w:rFonts w:hint="eastAsia" w:ascii="仿宋" w:hAnsi="仿宋" w:eastAsia="仿宋" w:cs="Times New Roman"/>
          <w:b/>
          <w:bCs/>
          <w:sz w:val="24"/>
          <w:highlight w:val="none"/>
          <w:lang w:val="en-US" w:eastAsia="zh-CN"/>
        </w:rPr>
        <w:t>所有实质性要求</w:t>
      </w:r>
      <w:r>
        <w:rPr>
          <w:rFonts w:hint="eastAsia" w:ascii="仿宋" w:hAnsi="仿宋" w:eastAsia="仿宋" w:cs="Times New Roman"/>
          <w:b w:val="0"/>
          <w:bCs w:val="0"/>
          <w:sz w:val="24"/>
          <w:highlight w:val="none"/>
          <w:lang w:val="en-US" w:eastAsia="zh-CN"/>
        </w:rPr>
        <w:t>。经审查不符合实质性要求，其响应文件应作无效处理，并在磋商报告中予以记录。</w:t>
      </w:r>
    </w:p>
    <w:p w14:paraId="6087E5E7">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sz w:val="24"/>
          <w:szCs w:val="24"/>
          <w:highlight w:val="none"/>
        </w:rPr>
      </w:pPr>
      <w:r>
        <w:rPr>
          <w:rFonts w:hint="eastAsia" w:ascii="仿宋" w:hAnsi="仿宋" w:eastAsia="仿宋"/>
          <w:b/>
          <w:bCs w:val="0"/>
          <w:sz w:val="24"/>
          <w:szCs w:val="24"/>
          <w:highlight w:val="none"/>
        </w:rPr>
        <w:t>2.</w:t>
      </w:r>
      <w:r>
        <w:rPr>
          <w:rFonts w:hint="eastAsia" w:ascii="仿宋" w:hAnsi="仿宋" w:eastAsia="仿宋"/>
          <w:b/>
          <w:bCs w:val="0"/>
          <w:sz w:val="24"/>
          <w:szCs w:val="24"/>
          <w:highlight w:val="none"/>
          <w:lang w:val="en-US" w:eastAsia="zh-CN"/>
        </w:rPr>
        <w:t>5</w:t>
      </w:r>
      <w:r>
        <w:rPr>
          <w:rFonts w:hint="eastAsia" w:ascii="仿宋" w:hAnsi="仿宋" w:eastAsia="仿宋"/>
          <w:b/>
          <w:bCs w:val="0"/>
          <w:sz w:val="24"/>
          <w:szCs w:val="24"/>
          <w:highlight w:val="none"/>
          <w:lang w:eastAsia="zh-CN"/>
        </w:rPr>
        <w:t>磋商</w:t>
      </w:r>
    </w:p>
    <w:p w14:paraId="630584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.1</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小组所有成员集中与单一供应商分别进行一轮或多轮</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，并给予所有参加</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的供应商平等的</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机会。</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顺序以现场抽签的方式确定。</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过程中，</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小组可以根据</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情况调整</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轮次。</w:t>
      </w:r>
    </w:p>
    <w:p w14:paraId="530E50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.2每轮</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开始前，</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小组应根据</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文件的规定，并结合各供应商的响应文件拟定</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内容。</w:t>
      </w:r>
    </w:p>
    <w:p w14:paraId="19D295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.3在磋商过程中，磋商小组可以根据磋商文件和磋商情况实质性变动采购需求中的技术、服务要求以及合同草案条款，但不得变动磋商文件中的其他内容。实质性变动的内容，须经采购人代表确认。</w:t>
      </w:r>
    </w:p>
    <w:p w14:paraId="0865B1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.4对</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文件作出的实质性变动是</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文件的有效组成部分，</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小组应当及时以书面形式同时通知所有参加</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的供应商。</w:t>
      </w:r>
    </w:p>
    <w:p w14:paraId="43D866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.5</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过程中，</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文件变动的，供应商应当按照</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文件的变动情况和</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过程中，供应商根据</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情况自行决定变更其响应文件的，</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小组不得拒绝，并应当给予供应商必要的时间，但是供应商变更其响应文件，应当以有利于满足</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文件要求为原则，不得变更为不利于满足</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文件规定，否则，其响应文件作为无效处理。</w:t>
      </w:r>
    </w:p>
    <w:p w14:paraId="1F41A0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.6</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过程中，</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的任何一方不得透露与</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有关的其他供应商的技术资料、价格和其他信息。</w:t>
      </w:r>
    </w:p>
    <w:p w14:paraId="3237C9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.7</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过程中，</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小组发现或者知晓供应商存在违法、违纪行为的，且该违法、违纪行为属于相关采购制度或本</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文件规定的响应文件无效处理情形的，</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小组应当将该供应商响应文件作无效处理，不允许其提交最后报价。</w:t>
      </w:r>
    </w:p>
    <w:p w14:paraId="5CAD46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.8经最终磋商后，响应文件仍有下列情况之一的，应按照无效响应文件处理：</w:t>
      </w:r>
    </w:p>
    <w:p w14:paraId="284AFF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1</w:t>
      </w:r>
      <w:r>
        <w:rPr>
          <w:rFonts w:hint="eastAsia" w:ascii="仿宋" w:hAnsi="仿宋" w:eastAsia="仿宋"/>
          <w:b w:val="0"/>
          <w:sz w:val="24"/>
          <w:szCs w:val="24"/>
          <w:highlight w:val="none"/>
        </w:rPr>
        <w:t>）响应文件仍不能实质响应磋商文件可实质性变动的实质性要求的；</w:t>
      </w:r>
    </w:p>
    <w:p w14:paraId="388496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2</w:t>
      </w:r>
      <w:r>
        <w:rPr>
          <w:rFonts w:hint="eastAsia" w:ascii="仿宋" w:hAnsi="仿宋" w:eastAsia="仿宋"/>
          <w:b w:val="0"/>
          <w:sz w:val="24"/>
          <w:szCs w:val="24"/>
          <w:highlight w:val="none"/>
        </w:rPr>
        <w:t>）响应文件中仍有磋商文件规定的其他无效响应情形的。</w:t>
      </w:r>
    </w:p>
    <w:p w14:paraId="7AA516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9</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完成后，</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小组应出具</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情况记录表，</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情况记录表需包含</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内容、</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意见、实质性变动内容等。</w:t>
      </w:r>
    </w:p>
    <w:p w14:paraId="1D2AAE12">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sz w:val="24"/>
          <w:szCs w:val="24"/>
          <w:highlight w:val="none"/>
        </w:rPr>
      </w:pPr>
      <w:r>
        <w:rPr>
          <w:rFonts w:hint="eastAsia" w:ascii="仿宋" w:hAnsi="仿宋" w:eastAsia="仿宋"/>
          <w:b/>
          <w:bCs w:val="0"/>
          <w:sz w:val="24"/>
          <w:szCs w:val="24"/>
          <w:highlight w:val="none"/>
        </w:rPr>
        <w:t>2.</w:t>
      </w:r>
      <w:r>
        <w:rPr>
          <w:rFonts w:hint="eastAsia" w:ascii="仿宋" w:hAnsi="仿宋" w:eastAsia="仿宋"/>
          <w:b/>
          <w:bCs w:val="0"/>
          <w:sz w:val="24"/>
          <w:szCs w:val="24"/>
          <w:highlight w:val="none"/>
          <w:lang w:val="en-US" w:eastAsia="zh-CN"/>
        </w:rPr>
        <w:t>6最后</w:t>
      </w:r>
      <w:r>
        <w:rPr>
          <w:rFonts w:hint="eastAsia" w:ascii="仿宋" w:hAnsi="仿宋" w:eastAsia="仿宋"/>
          <w:b/>
          <w:bCs w:val="0"/>
          <w:sz w:val="24"/>
          <w:szCs w:val="24"/>
          <w:highlight w:val="none"/>
        </w:rPr>
        <w:t>报价</w:t>
      </w:r>
    </w:p>
    <w:p w14:paraId="2697B8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1</w:t>
      </w:r>
      <w:r>
        <w:rPr>
          <w:rFonts w:hint="eastAsia" w:ascii="仿宋" w:hAnsi="仿宋" w:eastAsia="仿宋"/>
          <w:sz w:val="24"/>
          <w:highlight w:val="none"/>
          <w:lang w:eastAsia="zh-CN"/>
        </w:rPr>
        <w:t>磋商</w:t>
      </w:r>
      <w:r>
        <w:rPr>
          <w:rFonts w:hint="eastAsia" w:ascii="仿宋" w:hAnsi="仿宋" w:eastAsia="仿宋"/>
          <w:sz w:val="24"/>
          <w:highlight w:val="none"/>
        </w:rPr>
        <w:t>文件能够详细列明采购标的的技术、服务要求的，</w:t>
      </w:r>
      <w:r>
        <w:rPr>
          <w:rFonts w:hint="eastAsia" w:ascii="仿宋" w:hAnsi="仿宋" w:eastAsia="仿宋"/>
          <w:sz w:val="24"/>
          <w:highlight w:val="none"/>
          <w:lang w:eastAsia="zh-CN"/>
        </w:rPr>
        <w:t>磋商</w:t>
      </w:r>
      <w:r>
        <w:rPr>
          <w:rFonts w:hint="eastAsia" w:ascii="仿宋" w:hAnsi="仿宋" w:eastAsia="仿宋"/>
          <w:sz w:val="24"/>
          <w:highlight w:val="none"/>
        </w:rPr>
        <w:t>结束后，</w:t>
      </w:r>
      <w:r>
        <w:rPr>
          <w:rFonts w:hint="eastAsia" w:ascii="仿宋" w:hAnsi="仿宋" w:eastAsia="仿宋"/>
          <w:sz w:val="24"/>
          <w:highlight w:val="none"/>
          <w:lang w:eastAsia="zh-CN"/>
        </w:rPr>
        <w:t>磋商</w:t>
      </w:r>
      <w:r>
        <w:rPr>
          <w:rFonts w:hint="eastAsia" w:ascii="仿宋" w:hAnsi="仿宋" w:eastAsia="仿宋"/>
          <w:sz w:val="24"/>
          <w:highlight w:val="none"/>
        </w:rPr>
        <w:t>小组应当要求所有实质性响应的供应商在规定时间内提交最后报价，提交最后报价的供应商不得少于3家</w:t>
      </w:r>
      <w:r>
        <w:rPr>
          <w:rFonts w:hint="eastAsia" w:ascii="仿宋" w:hAnsi="仿宋" w:eastAsia="仿宋"/>
          <w:b/>
          <w:sz w:val="24"/>
          <w:highlight w:val="none"/>
        </w:rPr>
        <w:t>（</w:t>
      </w:r>
      <w:r>
        <w:rPr>
          <w:rFonts w:hint="eastAsia" w:ascii="仿宋" w:hAnsi="仿宋" w:eastAsia="仿宋"/>
          <w:b/>
          <w:bCs w:val="0"/>
          <w:sz w:val="24"/>
          <w:highlight w:val="none"/>
        </w:rPr>
        <w:t>本章2.3.1和2.</w:t>
      </w:r>
      <w:r>
        <w:rPr>
          <w:rFonts w:hint="eastAsia" w:ascii="仿宋" w:hAnsi="仿宋" w:eastAsia="仿宋"/>
          <w:b/>
          <w:bCs w:val="0"/>
          <w:sz w:val="24"/>
          <w:highlight w:val="none"/>
          <w:lang w:val="en-US" w:eastAsia="zh-CN"/>
        </w:rPr>
        <w:t>6</w:t>
      </w:r>
      <w:r>
        <w:rPr>
          <w:rFonts w:hint="eastAsia" w:ascii="仿宋" w:hAnsi="仿宋" w:eastAsia="仿宋"/>
          <w:b/>
          <w:bCs w:val="0"/>
          <w:sz w:val="24"/>
          <w:highlight w:val="none"/>
        </w:rPr>
        <w:t>.</w:t>
      </w:r>
      <w:r>
        <w:rPr>
          <w:rFonts w:hint="eastAsia" w:ascii="仿宋" w:hAnsi="仿宋" w:eastAsia="仿宋"/>
          <w:b/>
          <w:bCs w:val="0"/>
          <w:sz w:val="24"/>
          <w:highlight w:val="none"/>
          <w:lang w:val="en-US" w:eastAsia="zh-CN"/>
        </w:rPr>
        <w:t>2</w:t>
      </w:r>
      <w:r>
        <w:rPr>
          <w:rFonts w:hint="eastAsia" w:ascii="仿宋" w:hAnsi="仿宋" w:eastAsia="仿宋"/>
          <w:b/>
          <w:bCs w:val="0"/>
          <w:sz w:val="24"/>
          <w:highlight w:val="none"/>
        </w:rPr>
        <w:t>的情况除外）</w:t>
      </w:r>
      <w:r>
        <w:rPr>
          <w:rFonts w:hint="eastAsia" w:ascii="仿宋" w:hAnsi="仿宋" w:eastAsia="仿宋"/>
          <w:sz w:val="24"/>
          <w:highlight w:val="none"/>
        </w:rPr>
        <w:t>。或</w:t>
      </w:r>
      <w:r>
        <w:rPr>
          <w:rFonts w:hint="eastAsia" w:ascii="仿宋" w:hAnsi="仿宋" w:eastAsia="仿宋"/>
          <w:sz w:val="24"/>
          <w:highlight w:val="none"/>
          <w:lang w:eastAsia="zh-CN"/>
        </w:rPr>
        <w:t>磋商</w:t>
      </w:r>
      <w:r>
        <w:rPr>
          <w:rFonts w:hint="eastAsia" w:ascii="仿宋" w:hAnsi="仿宋" w:eastAsia="仿宋"/>
          <w:sz w:val="24"/>
          <w:highlight w:val="none"/>
        </w:rPr>
        <w:t>文件不能详细列明采购标的的技术、服务要求，需经</w:t>
      </w:r>
      <w:r>
        <w:rPr>
          <w:rFonts w:hint="eastAsia" w:ascii="仿宋" w:hAnsi="仿宋" w:eastAsia="仿宋"/>
          <w:sz w:val="24"/>
          <w:highlight w:val="none"/>
          <w:lang w:eastAsia="zh-CN"/>
        </w:rPr>
        <w:t>磋商</w:t>
      </w:r>
      <w:r>
        <w:rPr>
          <w:rFonts w:hint="eastAsia" w:ascii="仿宋" w:hAnsi="仿宋" w:eastAsia="仿宋"/>
          <w:sz w:val="24"/>
          <w:highlight w:val="none"/>
        </w:rPr>
        <w:t>由供应商提供最终设计方案或解决方案的，</w:t>
      </w:r>
      <w:r>
        <w:rPr>
          <w:rFonts w:hint="eastAsia" w:ascii="仿宋" w:hAnsi="仿宋" w:eastAsia="仿宋"/>
          <w:sz w:val="24"/>
          <w:highlight w:val="none"/>
          <w:lang w:eastAsia="zh-CN"/>
        </w:rPr>
        <w:t>磋商</w:t>
      </w:r>
      <w:r>
        <w:rPr>
          <w:rFonts w:hint="eastAsia" w:ascii="仿宋" w:hAnsi="仿宋" w:eastAsia="仿宋"/>
          <w:sz w:val="24"/>
          <w:highlight w:val="none"/>
        </w:rPr>
        <w:t>结束后，</w:t>
      </w:r>
      <w:r>
        <w:rPr>
          <w:rFonts w:hint="eastAsia" w:ascii="仿宋" w:hAnsi="仿宋" w:eastAsia="仿宋"/>
          <w:sz w:val="24"/>
          <w:highlight w:val="none"/>
          <w:lang w:eastAsia="zh-CN"/>
        </w:rPr>
        <w:t>磋商</w:t>
      </w:r>
      <w:r>
        <w:rPr>
          <w:rFonts w:hint="eastAsia" w:ascii="仿宋" w:hAnsi="仿宋" w:eastAsia="仿宋"/>
          <w:sz w:val="24"/>
          <w:highlight w:val="none"/>
        </w:rPr>
        <w:t>小组应当按照少数服从多数的原则投票推荐3家以上</w:t>
      </w:r>
      <w:r>
        <w:rPr>
          <w:rFonts w:hint="eastAsia" w:ascii="仿宋" w:hAnsi="仿宋" w:eastAsia="仿宋"/>
          <w:b/>
          <w:bCs w:val="0"/>
          <w:sz w:val="24"/>
          <w:highlight w:val="none"/>
        </w:rPr>
        <w:t>（本章2.3.1和2.</w:t>
      </w:r>
      <w:r>
        <w:rPr>
          <w:rFonts w:hint="eastAsia" w:ascii="仿宋" w:hAnsi="仿宋" w:eastAsia="仿宋"/>
          <w:b/>
          <w:bCs w:val="0"/>
          <w:sz w:val="24"/>
          <w:highlight w:val="none"/>
          <w:lang w:val="en-US" w:eastAsia="zh-CN"/>
        </w:rPr>
        <w:t>6</w:t>
      </w:r>
      <w:r>
        <w:rPr>
          <w:rFonts w:hint="eastAsia" w:ascii="仿宋" w:hAnsi="仿宋" w:eastAsia="仿宋"/>
          <w:b/>
          <w:bCs w:val="0"/>
          <w:sz w:val="24"/>
          <w:highlight w:val="none"/>
        </w:rPr>
        <w:t>.</w:t>
      </w:r>
      <w:r>
        <w:rPr>
          <w:rFonts w:hint="eastAsia" w:ascii="仿宋" w:hAnsi="仿宋" w:eastAsia="仿宋"/>
          <w:b/>
          <w:bCs w:val="0"/>
          <w:sz w:val="24"/>
          <w:highlight w:val="none"/>
          <w:lang w:val="en-US" w:eastAsia="zh-CN"/>
        </w:rPr>
        <w:t>2</w:t>
      </w:r>
      <w:r>
        <w:rPr>
          <w:rFonts w:hint="eastAsia" w:ascii="仿宋" w:hAnsi="仿宋" w:eastAsia="仿宋"/>
          <w:b/>
          <w:bCs w:val="0"/>
          <w:sz w:val="24"/>
          <w:highlight w:val="none"/>
        </w:rPr>
        <w:t>的情况除外）</w:t>
      </w:r>
      <w:r>
        <w:rPr>
          <w:rFonts w:hint="eastAsia" w:ascii="仿宋" w:hAnsi="仿宋" w:eastAsia="仿宋"/>
          <w:sz w:val="24"/>
          <w:highlight w:val="none"/>
        </w:rPr>
        <w:t>供应商的设计方案或者解决方案，并要求其在规定时间内提交最后报价。</w:t>
      </w:r>
    </w:p>
    <w:p w14:paraId="6FD720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b/>
          <w:bCs/>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2</w:t>
      </w:r>
      <w:bookmarkStart w:id="89" w:name="_Toc30986"/>
      <w:r>
        <w:rPr>
          <w:rFonts w:hint="eastAsia" w:ascii="仿宋" w:hAnsi="仿宋" w:eastAsia="仿宋"/>
          <w:sz w:val="24"/>
          <w:highlight w:val="none"/>
          <w:lang w:val="en-US" w:eastAsia="zh-CN"/>
        </w:rPr>
        <w:t>参照</w:t>
      </w:r>
      <w:r>
        <w:rPr>
          <w:rFonts w:hint="eastAsia" w:ascii="仿宋" w:hAnsi="仿宋" w:eastAsia="仿宋"/>
          <w:b w:val="0"/>
          <w:bCs w:val="0"/>
          <w:sz w:val="24"/>
          <w:highlight w:val="none"/>
        </w:rPr>
        <w:t>《</w:t>
      </w:r>
      <w:r>
        <w:rPr>
          <w:rFonts w:ascii="仿宋" w:hAnsi="仿宋" w:eastAsia="仿宋"/>
          <w:b w:val="0"/>
          <w:bCs w:val="0"/>
          <w:sz w:val="24"/>
          <w:highlight w:val="none"/>
        </w:rPr>
        <w:t>政府采购竞争性</w:t>
      </w:r>
      <w:r>
        <w:rPr>
          <w:rFonts w:hint="eastAsia" w:ascii="仿宋" w:hAnsi="仿宋" w:eastAsia="仿宋"/>
          <w:b w:val="0"/>
          <w:bCs w:val="0"/>
          <w:sz w:val="24"/>
          <w:highlight w:val="none"/>
          <w:lang w:eastAsia="zh-CN"/>
        </w:rPr>
        <w:t>磋商</w:t>
      </w:r>
      <w:r>
        <w:rPr>
          <w:rFonts w:ascii="仿宋" w:hAnsi="仿宋" w:eastAsia="仿宋"/>
          <w:b w:val="0"/>
          <w:bCs w:val="0"/>
          <w:sz w:val="24"/>
          <w:highlight w:val="none"/>
        </w:rPr>
        <w:t>采购方式管理暂行办法</w:t>
      </w:r>
      <w:r>
        <w:rPr>
          <w:rFonts w:hint="eastAsia" w:ascii="仿宋" w:hAnsi="仿宋" w:eastAsia="仿宋"/>
          <w:b w:val="0"/>
          <w:bCs w:val="0"/>
          <w:sz w:val="24"/>
          <w:highlight w:val="none"/>
        </w:rPr>
        <w:t>财库》〔2014〕214号</w:t>
      </w:r>
      <w:bookmarkEnd w:id="89"/>
      <w:r>
        <w:rPr>
          <w:rFonts w:hint="eastAsia" w:ascii="仿宋" w:hAnsi="仿宋" w:eastAsia="仿宋"/>
          <w:b w:val="0"/>
          <w:bCs w:val="0"/>
          <w:sz w:val="24"/>
          <w:highlight w:val="none"/>
        </w:rPr>
        <w:t>第三条第四项情形的，提交最后报价的供应商可以为2家。</w:t>
      </w:r>
    </w:p>
    <w:p w14:paraId="30F720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3</w:t>
      </w:r>
      <w:r>
        <w:rPr>
          <w:rFonts w:hint="eastAsia" w:ascii="仿宋" w:hAnsi="仿宋" w:eastAsia="仿宋"/>
          <w:sz w:val="24"/>
          <w:highlight w:val="none"/>
          <w:lang w:eastAsia="zh-CN"/>
        </w:rPr>
        <w:t>磋商</w:t>
      </w:r>
      <w:r>
        <w:rPr>
          <w:rFonts w:hint="eastAsia" w:ascii="仿宋" w:hAnsi="仿宋" w:eastAsia="仿宋"/>
          <w:sz w:val="24"/>
          <w:highlight w:val="none"/>
        </w:rPr>
        <w:t>结束后，</w:t>
      </w:r>
      <w:r>
        <w:rPr>
          <w:rFonts w:hint="eastAsia" w:ascii="仿宋" w:hAnsi="仿宋" w:eastAsia="仿宋"/>
          <w:sz w:val="24"/>
          <w:highlight w:val="none"/>
          <w:lang w:eastAsia="zh-CN"/>
        </w:rPr>
        <w:t>磋商</w:t>
      </w:r>
      <w:r>
        <w:rPr>
          <w:rFonts w:hint="eastAsia" w:ascii="仿宋" w:hAnsi="仿宋" w:eastAsia="仿宋"/>
          <w:sz w:val="24"/>
          <w:highlight w:val="none"/>
        </w:rPr>
        <w:t>小组应当要求所有实质性响应的供应商在规定时间内提交最后报价。两轮（若有）以上报价的，供应商在未提高响应文件中承诺的产品及其服务质量的情况下，其最后报价不得高于对该项目之前的报价，否则，</w:t>
      </w:r>
      <w:r>
        <w:rPr>
          <w:rFonts w:hint="eastAsia" w:ascii="仿宋" w:hAnsi="仿宋" w:eastAsia="仿宋"/>
          <w:sz w:val="24"/>
          <w:highlight w:val="none"/>
          <w:lang w:eastAsia="zh-CN"/>
        </w:rPr>
        <w:t>磋商</w:t>
      </w:r>
      <w:r>
        <w:rPr>
          <w:rFonts w:hint="eastAsia" w:ascii="仿宋" w:hAnsi="仿宋" w:eastAsia="仿宋"/>
          <w:sz w:val="24"/>
          <w:highlight w:val="none"/>
        </w:rPr>
        <w:t>小组应当对其响应文件按无效处理，不允许进入综合评分，并书面告知供应商，说明理由。</w:t>
      </w:r>
    </w:p>
    <w:p w14:paraId="3EE1AE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4</w:t>
      </w:r>
      <w:r>
        <w:rPr>
          <w:rFonts w:hint="eastAsia" w:ascii="仿宋" w:hAnsi="仿宋" w:eastAsia="仿宋"/>
          <w:sz w:val="24"/>
          <w:highlight w:val="none"/>
        </w:rPr>
        <w:t>供应商最后报价应当由法定代表人/主要负责人/本人或其授权代表签字确认（</w:t>
      </w:r>
      <w:r>
        <w:rPr>
          <w:rFonts w:hint="eastAsia" w:ascii="仿宋" w:hAnsi="仿宋" w:eastAsia="仿宋"/>
          <w:b/>
          <w:sz w:val="24"/>
          <w:highlight w:val="none"/>
        </w:rPr>
        <w:t>注：</w:t>
      </w:r>
      <w:r>
        <w:rPr>
          <w:rFonts w:hint="eastAsia" w:ascii="仿宋" w:hAnsi="仿宋" w:eastAsia="仿宋"/>
          <w:sz w:val="24"/>
          <w:highlight w:val="none"/>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5B2249F2">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5</w:t>
      </w:r>
      <w:r>
        <w:rPr>
          <w:rFonts w:hint="eastAsia" w:ascii="仿宋" w:hAnsi="仿宋" w:eastAsia="仿宋"/>
          <w:sz w:val="24"/>
          <w:highlight w:val="none"/>
        </w:rPr>
        <w:t>报价如果出现下列不一致的，可按以下原则进行修改：</w:t>
      </w:r>
    </w:p>
    <w:p w14:paraId="786DDBDB">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1</w:t>
      </w:r>
      <w:r>
        <w:rPr>
          <w:rFonts w:hint="eastAsia" w:ascii="仿宋" w:hAnsi="仿宋" w:eastAsia="仿宋"/>
          <w:sz w:val="24"/>
          <w:highlight w:val="none"/>
        </w:rPr>
        <w:t>）</w:t>
      </w:r>
      <w:r>
        <w:rPr>
          <w:rFonts w:hint="eastAsia" w:ascii="仿宋" w:hAnsi="仿宋" w:eastAsia="仿宋" w:cs="宋体"/>
          <w:kern w:val="0"/>
          <w:sz w:val="24"/>
          <w:highlight w:val="none"/>
        </w:rPr>
        <w:t>大写金额和小写金额不一致的，以大写金额为准</w:t>
      </w:r>
      <w:r>
        <w:rPr>
          <w:rFonts w:hint="eastAsia" w:ascii="仿宋" w:hAnsi="仿宋" w:eastAsia="仿宋"/>
          <w:sz w:val="24"/>
          <w:highlight w:val="none"/>
        </w:rPr>
        <w:t>，但大写金额文字存在错误的，应当先对大写金额的文字错误进行澄清、说明或者更正，再行修正。</w:t>
      </w:r>
    </w:p>
    <w:p w14:paraId="58D23899">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2</w:t>
      </w:r>
      <w:r>
        <w:rPr>
          <w:rFonts w:hint="eastAsia" w:ascii="仿宋" w:hAnsi="仿宋" w:eastAsia="仿宋"/>
          <w:sz w:val="24"/>
          <w:highlight w:val="none"/>
        </w:rPr>
        <w:t>）</w:t>
      </w:r>
      <w:r>
        <w:rPr>
          <w:rFonts w:hint="eastAsia" w:ascii="仿宋" w:hAnsi="仿宋" w:eastAsia="仿宋" w:cs="宋体"/>
          <w:kern w:val="0"/>
          <w:sz w:val="24"/>
          <w:highlight w:val="none"/>
        </w:rPr>
        <w:t>总价金额与按单价汇总金额不一致的，以单价金额计算结果为准，</w:t>
      </w:r>
      <w:r>
        <w:rPr>
          <w:rFonts w:hint="eastAsia" w:ascii="仿宋" w:hAnsi="仿宋" w:eastAsia="仿宋"/>
          <w:sz w:val="24"/>
          <w:highlight w:val="none"/>
        </w:rPr>
        <w:t>但</w:t>
      </w:r>
      <w:r>
        <w:rPr>
          <w:rFonts w:hint="eastAsia" w:ascii="仿宋" w:hAnsi="仿宋" w:eastAsia="仿宋" w:cs="宋体"/>
          <w:kern w:val="0"/>
          <w:sz w:val="24"/>
          <w:highlight w:val="none"/>
        </w:rPr>
        <w:t>单价或者单价汇总金额存在数字或者</w:t>
      </w:r>
      <w:r>
        <w:rPr>
          <w:rFonts w:hint="eastAsia" w:ascii="仿宋" w:hAnsi="仿宋" w:eastAsia="仿宋"/>
          <w:sz w:val="24"/>
          <w:highlight w:val="none"/>
        </w:rPr>
        <w:t>文字错误的，应当先对</w:t>
      </w:r>
      <w:r>
        <w:rPr>
          <w:rFonts w:hint="eastAsia" w:ascii="仿宋" w:hAnsi="仿宋" w:eastAsia="仿宋" w:cs="宋体"/>
          <w:kern w:val="0"/>
          <w:sz w:val="24"/>
          <w:highlight w:val="none"/>
        </w:rPr>
        <w:t>数字或者</w:t>
      </w:r>
      <w:r>
        <w:rPr>
          <w:rFonts w:hint="eastAsia" w:ascii="仿宋" w:hAnsi="仿宋" w:eastAsia="仿宋"/>
          <w:sz w:val="24"/>
          <w:highlight w:val="none"/>
        </w:rPr>
        <w:t>文字错误进行澄清、说明或者更正，再行修正。</w:t>
      </w:r>
    </w:p>
    <w:p w14:paraId="1D78C816">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3</w:t>
      </w:r>
      <w:r>
        <w:rPr>
          <w:rFonts w:hint="eastAsia" w:ascii="仿宋" w:hAnsi="仿宋" w:eastAsia="仿宋"/>
          <w:sz w:val="24"/>
          <w:highlight w:val="none"/>
        </w:rPr>
        <w:t>）单价金额小数点</w:t>
      </w:r>
      <w:r>
        <w:rPr>
          <w:rFonts w:hint="eastAsia" w:ascii="仿宋" w:hAnsi="仿宋" w:eastAsia="仿宋" w:cs="宋体"/>
          <w:kern w:val="0"/>
          <w:sz w:val="24"/>
          <w:highlight w:val="none"/>
        </w:rPr>
        <w:t>或者百分比有明显错位的</w:t>
      </w:r>
      <w:r>
        <w:rPr>
          <w:rFonts w:hint="eastAsia" w:ascii="仿宋" w:hAnsi="仿宋" w:eastAsia="仿宋"/>
          <w:sz w:val="24"/>
          <w:highlight w:val="none"/>
        </w:rPr>
        <w:t>，以总价为准，修正单价。</w:t>
      </w:r>
    </w:p>
    <w:p w14:paraId="122F5A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仿宋" w:hAnsi="仿宋" w:eastAsia="仿宋" w:cs="宋体"/>
          <w:kern w:val="0"/>
          <w:sz w:val="24"/>
          <w:highlight w:val="none"/>
        </w:rPr>
      </w:pPr>
      <w:r>
        <w:rPr>
          <w:rFonts w:hint="eastAsia" w:ascii="仿宋" w:hAnsi="仿宋" w:eastAsia="仿宋" w:cs="宋体"/>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A6260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highlight w:val="none"/>
        </w:rPr>
      </w:pPr>
      <w:r>
        <w:rPr>
          <w:rFonts w:hint="eastAsia" w:ascii="仿宋" w:hAnsi="仿宋" w:eastAsia="仿宋"/>
          <w:sz w:val="24"/>
          <w:highlight w:val="none"/>
        </w:rPr>
        <w:t>不得未经澄清、说明或者更正，直接将供应商响应文件作为无效处理。对不同文字文本响应文件的解释发生异议的，以中文文本为准。</w:t>
      </w:r>
    </w:p>
    <w:p w14:paraId="06BD68B9">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2.7供应商澄清、说明</w:t>
      </w:r>
    </w:p>
    <w:p w14:paraId="24DE9280">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b w:val="0"/>
          <w:sz w:val="24"/>
          <w:szCs w:val="24"/>
          <w:highlight w:val="none"/>
          <w:lang w:val="en-US" w:eastAsia="zh-CN"/>
        </w:rPr>
      </w:pPr>
      <w:r>
        <w:rPr>
          <w:rFonts w:hint="eastAsia" w:ascii="仿宋" w:hAnsi="仿宋" w:eastAsia="仿宋"/>
          <w:b w:val="0"/>
          <w:sz w:val="24"/>
          <w:szCs w:val="24"/>
          <w:highlight w:val="none"/>
          <w:lang w:val="en-US" w:eastAsia="zh-CN"/>
        </w:rPr>
        <w:t>2.7.1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A4092F">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highlight w:val="none"/>
        </w:rPr>
      </w:pPr>
      <w:r>
        <w:rPr>
          <w:rFonts w:hint="eastAsia" w:ascii="仿宋" w:hAnsi="仿宋" w:eastAsia="仿宋"/>
          <w:b w:val="0"/>
          <w:sz w:val="24"/>
          <w:szCs w:val="24"/>
          <w:highlight w:val="none"/>
          <w:lang w:val="en-US" w:eastAsia="zh-CN"/>
        </w:rPr>
        <w:t>2.7.2磋商小组要求供应商澄清、说明或者更正响应文件应当以书面形式作出。供应商的澄清、说明或者更正应当由法定代表人/单位负责人/本人或其授权代表签字或者加盖公章。</w:t>
      </w:r>
    </w:p>
    <w:p w14:paraId="0BB78D7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kern w:val="2"/>
          <w:sz w:val="24"/>
          <w:szCs w:val="24"/>
          <w:highlight w:val="none"/>
          <w:lang w:val="en-US" w:eastAsia="zh-CN" w:bidi="ar-SA"/>
        </w:rPr>
      </w:pPr>
      <w:r>
        <w:rPr>
          <w:rFonts w:hint="eastAsia" w:ascii="仿宋" w:hAnsi="仿宋" w:eastAsia="仿宋" w:cstheme="minorBidi"/>
          <w:b/>
          <w:bCs w:val="0"/>
          <w:kern w:val="2"/>
          <w:sz w:val="24"/>
          <w:szCs w:val="24"/>
          <w:highlight w:val="none"/>
          <w:lang w:val="en-US" w:eastAsia="zh-CN" w:bidi="ar-SA"/>
        </w:rPr>
        <w:t>2.8比较与评价</w:t>
      </w:r>
    </w:p>
    <w:p w14:paraId="5D20F0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由</w:t>
      </w:r>
      <w:r>
        <w:rPr>
          <w:rFonts w:hint="eastAsia" w:ascii="仿宋" w:hAnsi="仿宋" w:eastAsia="仿宋"/>
          <w:sz w:val="24"/>
          <w:highlight w:val="none"/>
          <w:lang w:eastAsia="zh-CN"/>
        </w:rPr>
        <w:t>磋商</w:t>
      </w:r>
      <w:r>
        <w:rPr>
          <w:rFonts w:hint="eastAsia" w:ascii="仿宋" w:hAnsi="仿宋" w:eastAsia="仿宋"/>
          <w:sz w:val="24"/>
          <w:highlight w:val="none"/>
        </w:rPr>
        <w:t>小组采用综合评分法对提交最后报价的供应商的响应文件和最后报价进行综合评分，具体要求详见本章综合评分部分。</w:t>
      </w:r>
    </w:p>
    <w:p w14:paraId="70CC012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kern w:val="2"/>
          <w:sz w:val="24"/>
          <w:szCs w:val="24"/>
          <w:highlight w:val="none"/>
          <w:lang w:val="en-US" w:eastAsia="zh-CN" w:bidi="ar-SA"/>
        </w:rPr>
      </w:pPr>
      <w:r>
        <w:rPr>
          <w:rFonts w:hint="eastAsia" w:ascii="仿宋" w:hAnsi="仿宋" w:eastAsia="仿宋" w:cstheme="minorBidi"/>
          <w:b/>
          <w:bCs w:val="0"/>
          <w:kern w:val="2"/>
          <w:sz w:val="24"/>
          <w:szCs w:val="24"/>
          <w:highlight w:val="none"/>
          <w:lang w:val="en-US" w:eastAsia="zh-CN" w:bidi="ar-SA"/>
        </w:rPr>
        <w:t>2.9推荐成交候选供应商</w:t>
      </w:r>
    </w:p>
    <w:p w14:paraId="7729C7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lang w:eastAsia="zh-CN"/>
        </w:rPr>
        <w:t>）磋商</w:t>
      </w:r>
      <w:r>
        <w:rPr>
          <w:rFonts w:hint="eastAsia" w:ascii="仿宋" w:hAnsi="仿宋" w:eastAsia="仿宋"/>
          <w:color w:val="auto"/>
          <w:sz w:val="24"/>
          <w:highlight w:val="none"/>
        </w:rPr>
        <w:t>小组应当根据综合评分情况，按照评审得分由高到低顺序推荐3家以上（本章2.</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.2的情况除外）成交候选供应商，并编写</w:t>
      </w:r>
      <w:r>
        <w:rPr>
          <w:rFonts w:hint="eastAsia" w:ascii="仿宋" w:hAnsi="仿宋" w:eastAsia="仿宋"/>
          <w:color w:val="auto"/>
          <w:sz w:val="24"/>
          <w:highlight w:val="none"/>
          <w:lang w:eastAsia="zh-CN"/>
        </w:rPr>
        <w:t>磋商</w:t>
      </w:r>
      <w:r>
        <w:rPr>
          <w:rFonts w:hint="eastAsia" w:ascii="仿宋" w:hAnsi="仿宋" w:eastAsia="仿宋"/>
          <w:color w:val="auto"/>
          <w:sz w:val="24"/>
          <w:highlight w:val="none"/>
        </w:rPr>
        <w:t>报告。评审得分相同的，按照最后报价由低到高的顺序推荐。评审得分且最后报价相同的，按照技术指标</w:t>
      </w:r>
      <w:r>
        <w:rPr>
          <w:rFonts w:hint="eastAsia" w:ascii="仿宋" w:hAnsi="仿宋" w:eastAsia="仿宋"/>
          <w:color w:val="auto"/>
          <w:sz w:val="24"/>
          <w:highlight w:val="none"/>
          <w:lang w:eastAsia="zh-CN"/>
        </w:rPr>
        <w:t>（评审因素第</w:t>
      </w:r>
      <w:r>
        <w:rPr>
          <w:rFonts w:hint="eastAsia" w:ascii="仿宋" w:hAnsi="仿宋" w:eastAsia="仿宋"/>
          <w:color w:val="auto"/>
          <w:sz w:val="24"/>
          <w:highlight w:val="none"/>
          <w:lang w:val="en-US" w:eastAsia="zh-CN"/>
        </w:rPr>
        <w:t>2项</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35A068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各采购包分别推荐成交候选供应商3名。</w:t>
      </w:r>
    </w:p>
    <w:p w14:paraId="1E1CEA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kern w:val="2"/>
          <w:sz w:val="24"/>
          <w:szCs w:val="24"/>
          <w:highlight w:val="none"/>
          <w:lang w:val="en-US" w:eastAsia="zh-CN" w:bidi="ar-SA"/>
        </w:rPr>
      </w:pPr>
      <w:r>
        <w:rPr>
          <w:rFonts w:hint="eastAsia" w:ascii="仿宋" w:hAnsi="仿宋" w:eastAsia="仿宋" w:cstheme="minorBidi"/>
          <w:b/>
          <w:bCs w:val="0"/>
          <w:kern w:val="2"/>
          <w:sz w:val="24"/>
          <w:szCs w:val="24"/>
          <w:highlight w:val="none"/>
          <w:lang w:val="en-US" w:eastAsia="zh-CN" w:bidi="ar-SA"/>
        </w:rPr>
        <w:t>2.10磋商小组复核</w:t>
      </w:r>
    </w:p>
    <w:p w14:paraId="503A74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lang w:eastAsia="zh-CN"/>
        </w:rPr>
        <w:t>磋商</w:t>
      </w:r>
      <w:r>
        <w:rPr>
          <w:rFonts w:hint="eastAsia" w:ascii="仿宋" w:hAnsi="仿宋" w:eastAsia="仿宋"/>
          <w:sz w:val="24"/>
          <w:highlight w:val="none"/>
        </w:rPr>
        <w:t>小组评分汇总结束后，</w:t>
      </w:r>
      <w:r>
        <w:rPr>
          <w:rFonts w:hint="eastAsia" w:ascii="仿宋" w:hAnsi="仿宋" w:eastAsia="仿宋"/>
          <w:sz w:val="24"/>
          <w:highlight w:val="none"/>
          <w:lang w:eastAsia="zh-CN"/>
        </w:rPr>
        <w:t>磋商</w:t>
      </w:r>
      <w:r>
        <w:rPr>
          <w:rFonts w:hint="eastAsia" w:ascii="仿宋" w:hAnsi="仿宋" w:eastAsia="仿宋"/>
          <w:sz w:val="24"/>
          <w:highlight w:val="none"/>
        </w:rPr>
        <w:t>小组应当进行评审复核，对拟推荐为成交候选供应商的、报价最低的、供应商资格审查未通过的、供应商响应文件作无效处理的重点复核。</w:t>
      </w:r>
    </w:p>
    <w:p w14:paraId="76CB658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kern w:val="2"/>
          <w:sz w:val="24"/>
          <w:szCs w:val="24"/>
          <w:highlight w:val="none"/>
          <w:lang w:val="en-US" w:eastAsia="zh-CN" w:bidi="ar-SA"/>
        </w:rPr>
      </w:pPr>
      <w:r>
        <w:rPr>
          <w:rFonts w:hint="eastAsia" w:ascii="仿宋" w:hAnsi="仿宋" w:eastAsia="仿宋" w:cstheme="minorBidi"/>
          <w:b/>
          <w:bCs w:val="0"/>
          <w:kern w:val="2"/>
          <w:sz w:val="24"/>
          <w:szCs w:val="24"/>
          <w:highlight w:val="none"/>
          <w:lang w:val="en-US" w:eastAsia="zh-CN" w:bidi="ar-SA"/>
        </w:rPr>
        <w:t>2.11采购组织单位现场复核评审结果</w:t>
      </w:r>
    </w:p>
    <w:p w14:paraId="121F3F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11</w:t>
      </w:r>
      <w:r>
        <w:rPr>
          <w:rFonts w:hint="eastAsia" w:ascii="仿宋" w:hAnsi="仿宋" w:eastAsia="仿宋"/>
          <w:sz w:val="24"/>
          <w:highlight w:val="none"/>
        </w:rPr>
        <w:t>.1评审结果汇总完成后，</w:t>
      </w:r>
      <w:r>
        <w:rPr>
          <w:rFonts w:hint="eastAsia" w:ascii="仿宋" w:hAnsi="仿宋" w:eastAsia="仿宋"/>
          <w:sz w:val="24"/>
          <w:highlight w:val="none"/>
          <w:lang w:eastAsia="zh-CN"/>
        </w:rPr>
        <w:t>磋商</w:t>
      </w:r>
      <w:r>
        <w:rPr>
          <w:rFonts w:hint="eastAsia" w:ascii="仿宋" w:hAnsi="仿宋" w:eastAsia="仿宋"/>
          <w:sz w:val="24"/>
          <w:highlight w:val="none"/>
        </w:rPr>
        <w:t>小组拟出具</w:t>
      </w:r>
      <w:r>
        <w:rPr>
          <w:rFonts w:hint="eastAsia" w:ascii="仿宋" w:hAnsi="仿宋" w:eastAsia="仿宋"/>
          <w:sz w:val="24"/>
          <w:highlight w:val="none"/>
          <w:lang w:eastAsia="zh-CN"/>
        </w:rPr>
        <w:t>磋商</w:t>
      </w:r>
      <w:r>
        <w:rPr>
          <w:rFonts w:hint="eastAsia" w:ascii="仿宋" w:hAnsi="仿宋" w:eastAsia="仿宋"/>
          <w:sz w:val="24"/>
          <w:highlight w:val="none"/>
        </w:rPr>
        <w:t>评审报告前，采购代理机构应当组织2名以上的本单位工作人员，在采购现场监督人员的监督之下，依据有关的法律制度和</w:t>
      </w:r>
      <w:r>
        <w:rPr>
          <w:rFonts w:hint="eastAsia" w:ascii="仿宋" w:hAnsi="仿宋" w:eastAsia="仿宋"/>
          <w:sz w:val="24"/>
          <w:highlight w:val="none"/>
          <w:lang w:eastAsia="zh-CN"/>
        </w:rPr>
        <w:t>磋商</w:t>
      </w:r>
      <w:r>
        <w:rPr>
          <w:rFonts w:hint="eastAsia" w:ascii="仿宋" w:hAnsi="仿宋" w:eastAsia="仿宋"/>
          <w:sz w:val="24"/>
          <w:highlight w:val="none"/>
        </w:rPr>
        <w:t>文件对评审结果进行复核，出具复核报告，存在下列情形之一的，采购代理机构应当根据情况书面建议</w:t>
      </w:r>
      <w:r>
        <w:rPr>
          <w:rFonts w:hint="eastAsia" w:ascii="仿宋" w:hAnsi="仿宋" w:eastAsia="仿宋"/>
          <w:sz w:val="24"/>
          <w:highlight w:val="none"/>
          <w:lang w:eastAsia="zh-CN"/>
        </w:rPr>
        <w:t>磋商</w:t>
      </w:r>
      <w:r>
        <w:rPr>
          <w:rFonts w:hint="eastAsia" w:ascii="仿宋" w:hAnsi="仿宋" w:eastAsia="仿宋"/>
          <w:sz w:val="24"/>
          <w:highlight w:val="none"/>
        </w:rPr>
        <w:t>小组现场修改评审结果：</w:t>
      </w:r>
    </w:p>
    <w:p w14:paraId="0F08AF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（1）资格性审查认定错误的；</w:t>
      </w:r>
    </w:p>
    <w:p w14:paraId="5356A0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（2）分值汇总计算错误的；</w:t>
      </w:r>
    </w:p>
    <w:p w14:paraId="6E4C86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（3）分项评分超出评分标准范围的；</w:t>
      </w:r>
    </w:p>
    <w:p w14:paraId="73F50C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（4）客观评分不一致的。</w:t>
      </w:r>
    </w:p>
    <w:p w14:paraId="65BF92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存在本条上述情形的，由</w:t>
      </w:r>
      <w:r>
        <w:rPr>
          <w:rFonts w:hint="eastAsia" w:ascii="仿宋" w:hAnsi="仿宋" w:eastAsia="仿宋"/>
          <w:sz w:val="24"/>
          <w:highlight w:val="none"/>
          <w:lang w:eastAsia="zh-CN"/>
        </w:rPr>
        <w:t>磋商</w:t>
      </w:r>
      <w:r>
        <w:rPr>
          <w:rFonts w:hint="eastAsia" w:ascii="仿宋" w:hAnsi="仿宋" w:eastAsia="仿宋"/>
          <w:sz w:val="24"/>
          <w:highlight w:val="none"/>
        </w:rPr>
        <w:t>小组自主决定是否采纳采购代理机构的书面建议，并承担独立评审责任。</w:t>
      </w:r>
      <w:r>
        <w:rPr>
          <w:rFonts w:hint="eastAsia" w:ascii="仿宋" w:hAnsi="仿宋" w:eastAsia="仿宋"/>
          <w:sz w:val="24"/>
          <w:highlight w:val="none"/>
          <w:lang w:eastAsia="zh-CN"/>
        </w:rPr>
        <w:t>磋商</w:t>
      </w:r>
      <w:r>
        <w:rPr>
          <w:rFonts w:hint="eastAsia" w:ascii="仿宋" w:hAnsi="仿宋" w:eastAsia="仿宋"/>
          <w:sz w:val="24"/>
          <w:highlight w:val="none"/>
        </w:rPr>
        <w:t>小组采纳采购代理机构书面建议的，应当按照规定现场修改评审结果或者重新评审，并在</w:t>
      </w:r>
      <w:r>
        <w:rPr>
          <w:rFonts w:hint="eastAsia" w:ascii="仿宋" w:hAnsi="仿宋" w:eastAsia="仿宋"/>
          <w:sz w:val="24"/>
          <w:highlight w:val="none"/>
          <w:lang w:eastAsia="zh-CN"/>
        </w:rPr>
        <w:t>磋商</w:t>
      </w:r>
      <w:r>
        <w:rPr>
          <w:rFonts w:hint="eastAsia" w:ascii="仿宋" w:hAnsi="仿宋" w:eastAsia="仿宋"/>
          <w:sz w:val="24"/>
          <w:highlight w:val="none"/>
        </w:rPr>
        <w:t>报告中详细记载有关事宜；不采纳采购代理机构书面建议的，应当书面说明理由。采购代理机构书面建议未被</w:t>
      </w:r>
      <w:r>
        <w:rPr>
          <w:rFonts w:hint="eastAsia" w:ascii="仿宋" w:hAnsi="仿宋" w:eastAsia="仿宋"/>
          <w:sz w:val="24"/>
          <w:highlight w:val="none"/>
          <w:lang w:eastAsia="zh-CN"/>
        </w:rPr>
        <w:t>磋商</w:t>
      </w:r>
      <w:r>
        <w:rPr>
          <w:rFonts w:hint="eastAsia" w:ascii="仿宋" w:hAnsi="仿宋" w:eastAsia="仿宋"/>
          <w:sz w:val="24"/>
          <w:highlight w:val="none"/>
        </w:rPr>
        <w:t>小组采纳的，应当接照规定程序要求继续组织实施采购活动，不得擅自中止采购活动。采购代理机构认为</w:t>
      </w:r>
      <w:r>
        <w:rPr>
          <w:rFonts w:hint="eastAsia" w:ascii="仿宋" w:hAnsi="仿宋" w:eastAsia="仿宋"/>
          <w:sz w:val="24"/>
          <w:highlight w:val="none"/>
          <w:lang w:eastAsia="zh-CN"/>
        </w:rPr>
        <w:t>磋商</w:t>
      </w:r>
      <w:r>
        <w:rPr>
          <w:rFonts w:hint="eastAsia" w:ascii="仿宋" w:hAnsi="仿宋" w:eastAsia="仿宋"/>
          <w:sz w:val="24"/>
          <w:highlight w:val="none"/>
        </w:rPr>
        <w:t>小组评审结果不合法的，应当</w:t>
      </w:r>
      <w:r>
        <w:rPr>
          <w:rFonts w:hint="eastAsia" w:ascii="仿宋" w:hAnsi="仿宋" w:eastAsia="仿宋"/>
          <w:sz w:val="24"/>
          <w:highlight w:val="none"/>
          <w:lang w:val="en-US" w:eastAsia="zh-CN"/>
        </w:rPr>
        <w:t>重新组织磋商小组进行评审</w:t>
      </w:r>
      <w:r>
        <w:rPr>
          <w:rFonts w:hint="eastAsia" w:ascii="仿宋" w:hAnsi="仿宋" w:eastAsia="仿宋"/>
          <w:sz w:val="24"/>
          <w:highlight w:val="none"/>
        </w:rPr>
        <w:t>。</w:t>
      </w:r>
    </w:p>
    <w:p w14:paraId="097D90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采购代理机构复核过程中，</w:t>
      </w:r>
      <w:r>
        <w:rPr>
          <w:rFonts w:hint="eastAsia" w:ascii="仿宋" w:hAnsi="仿宋" w:eastAsia="仿宋"/>
          <w:sz w:val="24"/>
          <w:highlight w:val="none"/>
          <w:lang w:eastAsia="zh-CN"/>
        </w:rPr>
        <w:t>磋商</w:t>
      </w:r>
      <w:r>
        <w:rPr>
          <w:rFonts w:hint="eastAsia" w:ascii="仿宋" w:hAnsi="仿宋" w:eastAsia="仿宋"/>
          <w:sz w:val="24"/>
          <w:highlight w:val="none"/>
        </w:rPr>
        <w:t>小组成员不得离开评审现场。</w:t>
      </w:r>
    </w:p>
    <w:p w14:paraId="0E81E8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11</w:t>
      </w:r>
      <w:r>
        <w:rPr>
          <w:rFonts w:hint="eastAsia" w:ascii="仿宋" w:hAnsi="仿宋" w:eastAsia="仿宋"/>
          <w:sz w:val="24"/>
          <w:highlight w:val="none"/>
        </w:rPr>
        <w:t>.2有下列情形之一的，不得现场修改评审结果：</w:t>
      </w:r>
    </w:p>
    <w:p w14:paraId="548CD1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（1）</w:t>
      </w:r>
      <w:r>
        <w:rPr>
          <w:rFonts w:hint="eastAsia" w:ascii="仿宋" w:hAnsi="仿宋" w:eastAsia="仿宋"/>
          <w:sz w:val="24"/>
          <w:highlight w:val="none"/>
          <w:lang w:eastAsia="zh-CN"/>
        </w:rPr>
        <w:t>磋商</w:t>
      </w:r>
      <w:r>
        <w:rPr>
          <w:rFonts w:hint="eastAsia" w:ascii="仿宋" w:hAnsi="仿宋" w:eastAsia="仿宋"/>
          <w:sz w:val="24"/>
          <w:highlight w:val="none"/>
        </w:rPr>
        <w:t>小组已经出具</w:t>
      </w:r>
      <w:r>
        <w:rPr>
          <w:rFonts w:hint="eastAsia" w:ascii="仿宋" w:hAnsi="仿宋" w:eastAsia="仿宋"/>
          <w:sz w:val="24"/>
          <w:highlight w:val="none"/>
          <w:lang w:eastAsia="zh-CN"/>
        </w:rPr>
        <w:t>磋商</w:t>
      </w:r>
      <w:r>
        <w:rPr>
          <w:rFonts w:hint="eastAsia" w:ascii="仿宋" w:hAnsi="仿宋" w:eastAsia="仿宋"/>
          <w:sz w:val="24"/>
          <w:highlight w:val="none"/>
        </w:rPr>
        <w:t>报告并且离开评审现场的；</w:t>
      </w:r>
    </w:p>
    <w:p w14:paraId="16ECC6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（2）采购代理机构现场复核时，复核工作人员数量不足的；</w:t>
      </w:r>
    </w:p>
    <w:p w14:paraId="65A63A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（3）采购代理机构现场复核时，没有采购监督人员现场监督的；</w:t>
      </w:r>
    </w:p>
    <w:p w14:paraId="28AED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（4）采购代理机构现场复核内容超出规定范围的；</w:t>
      </w:r>
    </w:p>
    <w:p w14:paraId="053EC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（5）采购代理机构未提供书面建议的。</w:t>
      </w:r>
    </w:p>
    <w:p w14:paraId="2D6262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kern w:val="2"/>
          <w:sz w:val="24"/>
          <w:szCs w:val="24"/>
          <w:highlight w:val="none"/>
          <w:lang w:val="en-US" w:eastAsia="zh-CN" w:bidi="ar-SA"/>
        </w:rPr>
      </w:pPr>
      <w:r>
        <w:rPr>
          <w:rFonts w:hint="eastAsia" w:ascii="仿宋" w:hAnsi="仿宋" w:eastAsia="仿宋" w:cstheme="minorBidi"/>
          <w:b/>
          <w:bCs w:val="0"/>
          <w:kern w:val="2"/>
          <w:sz w:val="24"/>
          <w:szCs w:val="24"/>
          <w:highlight w:val="none"/>
          <w:lang w:val="en-US" w:eastAsia="zh-CN" w:bidi="ar-SA"/>
        </w:rPr>
        <w:t>2.12编写磋商报告</w:t>
      </w:r>
    </w:p>
    <w:p w14:paraId="514C08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lang w:eastAsia="zh-CN"/>
        </w:rPr>
        <w:t>磋商</w:t>
      </w:r>
      <w:r>
        <w:rPr>
          <w:rFonts w:hint="eastAsia" w:ascii="仿宋" w:hAnsi="仿宋" w:eastAsia="仿宋"/>
          <w:sz w:val="24"/>
          <w:highlight w:val="none"/>
        </w:rPr>
        <w:t>小组推荐成交候选供应商后，应向采购代理机构出具</w:t>
      </w:r>
      <w:r>
        <w:rPr>
          <w:rFonts w:hint="eastAsia" w:ascii="仿宋" w:hAnsi="仿宋" w:eastAsia="仿宋"/>
          <w:sz w:val="24"/>
          <w:highlight w:val="none"/>
          <w:lang w:eastAsia="zh-CN"/>
        </w:rPr>
        <w:t>磋商</w:t>
      </w:r>
      <w:r>
        <w:rPr>
          <w:rFonts w:hint="eastAsia" w:ascii="仿宋" w:hAnsi="仿宋" w:eastAsia="仿宋"/>
          <w:sz w:val="24"/>
          <w:highlight w:val="none"/>
        </w:rPr>
        <w:t>报告。</w:t>
      </w:r>
      <w:r>
        <w:rPr>
          <w:rFonts w:hint="eastAsia" w:ascii="仿宋" w:hAnsi="仿宋" w:eastAsia="仿宋"/>
          <w:sz w:val="24"/>
          <w:highlight w:val="none"/>
          <w:lang w:eastAsia="zh-CN"/>
        </w:rPr>
        <w:t>磋商</w:t>
      </w:r>
      <w:r>
        <w:rPr>
          <w:rFonts w:hint="eastAsia" w:ascii="仿宋" w:hAnsi="仿宋" w:eastAsia="仿宋"/>
          <w:sz w:val="24"/>
          <w:highlight w:val="none"/>
        </w:rPr>
        <w:t>报告应当包括以下主要内容：</w:t>
      </w:r>
    </w:p>
    <w:p w14:paraId="7A126A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（1）邀请供应商参加采购活动的具体方式和相关情况；</w:t>
      </w:r>
    </w:p>
    <w:p w14:paraId="667797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（2）响应文件开启日期和地点；</w:t>
      </w:r>
    </w:p>
    <w:p w14:paraId="61F0D3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（3）获取</w:t>
      </w:r>
      <w:r>
        <w:rPr>
          <w:rFonts w:hint="eastAsia" w:ascii="仿宋" w:hAnsi="仿宋" w:eastAsia="仿宋"/>
          <w:sz w:val="24"/>
          <w:highlight w:val="none"/>
          <w:lang w:eastAsia="zh-CN"/>
        </w:rPr>
        <w:t>磋商</w:t>
      </w:r>
      <w:r>
        <w:rPr>
          <w:rFonts w:hint="eastAsia" w:ascii="仿宋" w:hAnsi="仿宋" w:eastAsia="仿宋"/>
          <w:sz w:val="24"/>
          <w:highlight w:val="none"/>
        </w:rPr>
        <w:t>文件的供应商名单和</w:t>
      </w:r>
      <w:r>
        <w:rPr>
          <w:rFonts w:hint="eastAsia" w:ascii="仿宋" w:hAnsi="仿宋" w:eastAsia="仿宋"/>
          <w:sz w:val="24"/>
          <w:highlight w:val="none"/>
          <w:lang w:eastAsia="zh-CN"/>
        </w:rPr>
        <w:t>磋商</w:t>
      </w:r>
      <w:r>
        <w:rPr>
          <w:rFonts w:hint="eastAsia" w:ascii="仿宋" w:hAnsi="仿宋" w:eastAsia="仿宋"/>
          <w:sz w:val="24"/>
          <w:highlight w:val="none"/>
        </w:rPr>
        <w:t>小组成员名单；</w:t>
      </w:r>
    </w:p>
    <w:p w14:paraId="36766B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（4）评审情况记录和说明，包括对供应商的资格审查情况、供应商响应文件审查情况、</w:t>
      </w:r>
      <w:r>
        <w:rPr>
          <w:rFonts w:hint="eastAsia" w:ascii="仿宋" w:hAnsi="仿宋" w:eastAsia="仿宋"/>
          <w:sz w:val="24"/>
          <w:highlight w:val="none"/>
          <w:lang w:eastAsia="zh-CN"/>
        </w:rPr>
        <w:t>磋商</w:t>
      </w:r>
      <w:r>
        <w:rPr>
          <w:rFonts w:hint="eastAsia" w:ascii="仿宋" w:hAnsi="仿宋" w:eastAsia="仿宋"/>
          <w:sz w:val="24"/>
          <w:highlight w:val="none"/>
        </w:rPr>
        <w:t>情况、报价情况等；</w:t>
      </w:r>
    </w:p>
    <w:p w14:paraId="5231BA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（5）提出的成交候选供应商的排序名单及理由。</w:t>
      </w:r>
    </w:p>
    <w:p w14:paraId="7BA6F8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lang w:eastAsia="zh-CN"/>
        </w:rPr>
        <w:t>磋商</w:t>
      </w:r>
      <w:r>
        <w:rPr>
          <w:rFonts w:hint="eastAsia" w:ascii="仿宋" w:hAnsi="仿宋" w:eastAsia="仿宋"/>
          <w:sz w:val="24"/>
          <w:highlight w:val="none"/>
        </w:rPr>
        <w:t>报告应当由</w:t>
      </w:r>
      <w:r>
        <w:rPr>
          <w:rFonts w:hint="eastAsia" w:ascii="仿宋" w:hAnsi="仿宋" w:eastAsia="仿宋"/>
          <w:sz w:val="24"/>
          <w:highlight w:val="none"/>
          <w:lang w:eastAsia="zh-CN"/>
        </w:rPr>
        <w:t>磋商</w:t>
      </w:r>
      <w:r>
        <w:rPr>
          <w:rFonts w:hint="eastAsia" w:ascii="仿宋" w:hAnsi="仿宋" w:eastAsia="仿宋"/>
          <w:sz w:val="24"/>
          <w:highlight w:val="none"/>
        </w:rPr>
        <w:t>小组全体人员签字认可。</w:t>
      </w:r>
      <w:r>
        <w:rPr>
          <w:rFonts w:hint="eastAsia" w:ascii="仿宋" w:hAnsi="仿宋" w:eastAsia="仿宋"/>
          <w:sz w:val="24"/>
          <w:highlight w:val="none"/>
          <w:lang w:eastAsia="zh-CN"/>
        </w:rPr>
        <w:t>磋商</w:t>
      </w:r>
      <w:r>
        <w:rPr>
          <w:rFonts w:hint="eastAsia" w:ascii="仿宋" w:hAnsi="仿宋" w:eastAsia="仿宋"/>
          <w:sz w:val="24"/>
          <w:highlight w:val="none"/>
        </w:rPr>
        <w:t>小组成员对</w:t>
      </w:r>
      <w:r>
        <w:rPr>
          <w:rFonts w:hint="eastAsia" w:ascii="仿宋" w:hAnsi="仿宋" w:eastAsia="仿宋"/>
          <w:sz w:val="24"/>
          <w:highlight w:val="none"/>
          <w:lang w:eastAsia="zh-CN"/>
        </w:rPr>
        <w:t>磋商</w:t>
      </w:r>
      <w:r>
        <w:rPr>
          <w:rFonts w:hint="eastAsia" w:ascii="仿宋" w:hAnsi="仿宋" w:eastAsia="仿宋"/>
          <w:sz w:val="24"/>
          <w:highlight w:val="none"/>
        </w:rPr>
        <w:t>报告有异议的，</w:t>
      </w:r>
      <w:r>
        <w:rPr>
          <w:rFonts w:hint="eastAsia" w:ascii="仿宋" w:hAnsi="仿宋" w:eastAsia="仿宋"/>
          <w:sz w:val="24"/>
          <w:highlight w:val="none"/>
          <w:lang w:eastAsia="zh-CN"/>
        </w:rPr>
        <w:t>磋商</w:t>
      </w:r>
      <w:r>
        <w:rPr>
          <w:rFonts w:hint="eastAsia" w:ascii="仿宋" w:hAnsi="仿宋" w:eastAsia="仿宋"/>
          <w:sz w:val="24"/>
          <w:highlight w:val="none"/>
        </w:rPr>
        <w:t>小组按照少数服从多数的原则推荐成交候选供应商，采购程序继续进行。对</w:t>
      </w:r>
      <w:r>
        <w:rPr>
          <w:rFonts w:hint="eastAsia" w:ascii="仿宋" w:hAnsi="仿宋" w:eastAsia="仿宋"/>
          <w:sz w:val="24"/>
          <w:highlight w:val="none"/>
          <w:lang w:eastAsia="zh-CN"/>
        </w:rPr>
        <w:t>磋商</w:t>
      </w:r>
      <w:r>
        <w:rPr>
          <w:rFonts w:hint="eastAsia" w:ascii="仿宋" w:hAnsi="仿宋" w:eastAsia="仿宋"/>
          <w:sz w:val="24"/>
          <w:highlight w:val="none"/>
        </w:rPr>
        <w:t>报告有异议的</w:t>
      </w:r>
      <w:r>
        <w:rPr>
          <w:rFonts w:hint="eastAsia" w:ascii="仿宋" w:hAnsi="仿宋" w:eastAsia="仿宋"/>
          <w:sz w:val="24"/>
          <w:highlight w:val="none"/>
          <w:lang w:eastAsia="zh-CN"/>
        </w:rPr>
        <w:t>磋商</w:t>
      </w:r>
      <w:r>
        <w:rPr>
          <w:rFonts w:hint="eastAsia" w:ascii="仿宋" w:hAnsi="仿宋" w:eastAsia="仿宋"/>
          <w:sz w:val="24"/>
          <w:highlight w:val="none"/>
        </w:rPr>
        <w:t>小组成员，应当在报告上签署不同意见并说明理由，由</w:t>
      </w:r>
      <w:r>
        <w:rPr>
          <w:rFonts w:hint="eastAsia" w:ascii="仿宋" w:hAnsi="仿宋" w:eastAsia="仿宋"/>
          <w:sz w:val="24"/>
          <w:highlight w:val="none"/>
          <w:lang w:eastAsia="zh-CN"/>
        </w:rPr>
        <w:t>磋商</w:t>
      </w:r>
      <w:r>
        <w:rPr>
          <w:rFonts w:hint="eastAsia" w:ascii="仿宋" w:hAnsi="仿宋" w:eastAsia="仿宋"/>
          <w:sz w:val="24"/>
          <w:highlight w:val="none"/>
        </w:rPr>
        <w:t>小组书面记录相关情况。</w:t>
      </w:r>
      <w:r>
        <w:rPr>
          <w:rFonts w:hint="eastAsia" w:ascii="仿宋" w:hAnsi="仿宋" w:eastAsia="仿宋"/>
          <w:sz w:val="24"/>
          <w:highlight w:val="none"/>
          <w:lang w:eastAsia="zh-CN"/>
        </w:rPr>
        <w:t>磋商</w:t>
      </w:r>
      <w:r>
        <w:rPr>
          <w:rFonts w:hint="eastAsia" w:ascii="仿宋" w:hAnsi="仿宋" w:eastAsia="仿宋"/>
          <w:sz w:val="24"/>
          <w:highlight w:val="none"/>
        </w:rPr>
        <w:t>小组成员拒绝在报告上签字又不书面说明其不同意见和理由的，视为同意</w:t>
      </w:r>
      <w:r>
        <w:rPr>
          <w:rFonts w:hint="eastAsia" w:ascii="仿宋" w:hAnsi="仿宋" w:eastAsia="仿宋"/>
          <w:sz w:val="24"/>
          <w:highlight w:val="none"/>
          <w:lang w:eastAsia="zh-CN"/>
        </w:rPr>
        <w:t>磋商</w:t>
      </w:r>
      <w:r>
        <w:rPr>
          <w:rFonts w:hint="eastAsia" w:ascii="仿宋" w:hAnsi="仿宋" w:eastAsia="仿宋"/>
          <w:sz w:val="24"/>
          <w:highlight w:val="none"/>
        </w:rPr>
        <w:t>报告。</w:t>
      </w:r>
    </w:p>
    <w:p w14:paraId="348892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kern w:val="2"/>
          <w:sz w:val="24"/>
          <w:szCs w:val="24"/>
          <w:highlight w:val="none"/>
          <w:lang w:val="en-US" w:eastAsia="zh-CN" w:bidi="ar-SA"/>
        </w:rPr>
      </w:pPr>
      <w:r>
        <w:rPr>
          <w:rFonts w:hint="eastAsia" w:ascii="仿宋" w:hAnsi="仿宋" w:eastAsia="仿宋" w:cstheme="minorBidi"/>
          <w:b/>
          <w:bCs w:val="0"/>
          <w:kern w:val="2"/>
          <w:sz w:val="24"/>
          <w:szCs w:val="24"/>
          <w:highlight w:val="none"/>
          <w:lang w:val="en-US" w:eastAsia="zh-CN" w:bidi="ar-SA"/>
        </w:rPr>
        <w:t>2.13磋商异议处理规则</w:t>
      </w:r>
    </w:p>
    <w:p w14:paraId="4BB6E0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在</w:t>
      </w:r>
      <w:r>
        <w:rPr>
          <w:rFonts w:hint="eastAsia" w:ascii="仿宋" w:hAnsi="仿宋" w:eastAsia="仿宋"/>
          <w:sz w:val="24"/>
          <w:highlight w:val="none"/>
          <w:lang w:eastAsia="zh-CN"/>
        </w:rPr>
        <w:t>磋商</w:t>
      </w:r>
      <w:r>
        <w:rPr>
          <w:rFonts w:hint="eastAsia" w:ascii="仿宋" w:hAnsi="仿宋" w:eastAsia="仿宋"/>
          <w:sz w:val="24"/>
          <w:highlight w:val="none"/>
        </w:rPr>
        <w:t>过程中，</w:t>
      </w:r>
      <w:r>
        <w:rPr>
          <w:rFonts w:hint="eastAsia" w:ascii="仿宋" w:hAnsi="仿宋" w:eastAsia="仿宋"/>
          <w:sz w:val="24"/>
          <w:highlight w:val="none"/>
          <w:lang w:eastAsia="zh-CN"/>
        </w:rPr>
        <w:t>磋商</w:t>
      </w:r>
      <w:r>
        <w:rPr>
          <w:rFonts w:hint="eastAsia" w:ascii="仿宋" w:hAnsi="仿宋" w:eastAsia="仿宋"/>
          <w:sz w:val="24"/>
          <w:highlight w:val="none"/>
        </w:rPr>
        <w:t>小组成员对响应文件是否符合</w:t>
      </w:r>
      <w:r>
        <w:rPr>
          <w:rFonts w:hint="eastAsia" w:ascii="仿宋" w:hAnsi="仿宋" w:eastAsia="仿宋"/>
          <w:sz w:val="24"/>
          <w:highlight w:val="none"/>
          <w:lang w:eastAsia="zh-CN"/>
        </w:rPr>
        <w:t>磋商</w:t>
      </w:r>
      <w:r>
        <w:rPr>
          <w:rFonts w:hint="eastAsia" w:ascii="仿宋" w:hAnsi="仿宋" w:eastAsia="仿宋"/>
          <w:sz w:val="24"/>
          <w:highlight w:val="none"/>
        </w:rPr>
        <w:t>文件规定存在争议的，应当以少数服从多数的原则处理，但不违背</w:t>
      </w:r>
      <w:r>
        <w:rPr>
          <w:rFonts w:hint="eastAsia" w:ascii="仿宋" w:hAnsi="仿宋" w:eastAsia="仿宋"/>
          <w:sz w:val="24"/>
          <w:highlight w:val="none"/>
          <w:lang w:eastAsia="zh-CN"/>
        </w:rPr>
        <w:t>磋商</w:t>
      </w:r>
      <w:r>
        <w:rPr>
          <w:rFonts w:hint="eastAsia" w:ascii="仿宋" w:hAnsi="仿宋" w:eastAsia="仿宋"/>
          <w:sz w:val="24"/>
          <w:highlight w:val="none"/>
        </w:rPr>
        <w:t>文件规定。有不同意见的</w:t>
      </w:r>
      <w:r>
        <w:rPr>
          <w:rFonts w:hint="eastAsia" w:ascii="仿宋" w:hAnsi="仿宋" w:eastAsia="仿宋"/>
          <w:sz w:val="24"/>
          <w:highlight w:val="none"/>
          <w:lang w:eastAsia="zh-CN"/>
        </w:rPr>
        <w:t>磋商</w:t>
      </w:r>
      <w:r>
        <w:rPr>
          <w:rFonts w:hint="eastAsia" w:ascii="仿宋" w:hAnsi="仿宋" w:eastAsia="仿宋"/>
          <w:sz w:val="24"/>
          <w:highlight w:val="none"/>
        </w:rPr>
        <w:t>小组成员认为认定过程和结果不符合法律法规或者</w:t>
      </w:r>
      <w:r>
        <w:rPr>
          <w:rFonts w:hint="eastAsia" w:ascii="仿宋" w:hAnsi="仿宋" w:eastAsia="仿宋"/>
          <w:sz w:val="24"/>
          <w:highlight w:val="none"/>
          <w:lang w:eastAsia="zh-CN"/>
        </w:rPr>
        <w:t>磋商</w:t>
      </w:r>
      <w:r>
        <w:rPr>
          <w:rFonts w:hint="eastAsia" w:ascii="仿宋" w:hAnsi="仿宋" w:eastAsia="仿宋"/>
          <w:sz w:val="24"/>
          <w:highlight w:val="none"/>
        </w:rPr>
        <w:t>文件规定的，应当在</w:t>
      </w:r>
      <w:r>
        <w:rPr>
          <w:rFonts w:hint="eastAsia" w:ascii="仿宋" w:hAnsi="仿宋" w:eastAsia="仿宋"/>
          <w:sz w:val="24"/>
          <w:highlight w:val="none"/>
          <w:lang w:eastAsia="zh-CN"/>
        </w:rPr>
        <w:t>磋商</w:t>
      </w:r>
      <w:r>
        <w:rPr>
          <w:rFonts w:hint="eastAsia" w:ascii="仿宋" w:hAnsi="仿宋" w:eastAsia="仿宋"/>
          <w:sz w:val="24"/>
          <w:highlight w:val="none"/>
        </w:rPr>
        <w:t>报告中予以反映。</w:t>
      </w:r>
    </w:p>
    <w:p w14:paraId="0BE2B7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kern w:val="2"/>
          <w:sz w:val="24"/>
          <w:szCs w:val="24"/>
          <w:highlight w:val="none"/>
          <w:lang w:val="en-US" w:eastAsia="zh-CN" w:bidi="ar-SA"/>
        </w:rPr>
      </w:pPr>
      <w:r>
        <w:rPr>
          <w:rFonts w:hint="eastAsia" w:ascii="仿宋" w:hAnsi="仿宋" w:eastAsia="仿宋" w:cstheme="minorBidi"/>
          <w:b/>
          <w:bCs w:val="0"/>
          <w:kern w:val="2"/>
          <w:sz w:val="24"/>
          <w:szCs w:val="24"/>
          <w:highlight w:val="none"/>
          <w:lang w:val="en-US" w:eastAsia="zh-CN" w:bidi="ar-SA"/>
        </w:rPr>
        <w:t>2.14终止磋商采购活动</w:t>
      </w:r>
    </w:p>
    <w:p w14:paraId="139C12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出现下列情形之一的，采购人或者采购代理机构应当终止竞争性</w:t>
      </w:r>
      <w:r>
        <w:rPr>
          <w:rFonts w:hint="eastAsia" w:ascii="仿宋" w:hAnsi="仿宋" w:eastAsia="仿宋"/>
          <w:sz w:val="24"/>
          <w:highlight w:val="none"/>
          <w:lang w:eastAsia="zh-CN"/>
        </w:rPr>
        <w:t>磋商</w:t>
      </w:r>
      <w:r>
        <w:rPr>
          <w:rFonts w:hint="eastAsia" w:ascii="仿宋" w:hAnsi="仿宋" w:eastAsia="仿宋"/>
          <w:sz w:val="24"/>
          <w:highlight w:val="none"/>
        </w:rPr>
        <w:t>采购活动，发布项目终止公告并说明原因，重新开展采购活动：</w:t>
      </w:r>
    </w:p>
    <w:p w14:paraId="241CAA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（1）因情况变化，不再符合规定的竞争性</w:t>
      </w:r>
      <w:r>
        <w:rPr>
          <w:rFonts w:hint="eastAsia" w:ascii="仿宋" w:hAnsi="仿宋" w:eastAsia="仿宋"/>
          <w:sz w:val="24"/>
          <w:highlight w:val="none"/>
          <w:lang w:eastAsia="zh-CN"/>
        </w:rPr>
        <w:t>磋商</w:t>
      </w:r>
      <w:r>
        <w:rPr>
          <w:rFonts w:hint="eastAsia" w:ascii="仿宋" w:hAnsi="仿宋" w:eastAsia="仿宋"/>
          <w:sz w:val="24"/>
          <w:highlight w:val="none"/>
        </w:rPr>
        <w:t>采购方式适用情形的；</w:t>
      </w:r>
    </w:p>
    <w:p w14:paraId="0838E0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（2）出现影响采购公正的违法、违规行为的；</w:t>
      </w:r>
    </w:p>
    <w:p w14:paraId="5A5335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（3）除</w:t>
      </w:r>
      <w:r>
        <w:rPr>
          <w:rFonts w:hint="eastAsia" w:ascii="仿宋" w:hAnsi="仿宋" w:eastAsia="仿宋"/>
          <w:b/>
          <w:sz w:val="24"/>
          <w:highlight w:val="none"/>
        </w:rPr>
        <w:t>本章</w:t>
      </w:r>
      <w:r>
        <w:rPr>
          <w:rFonts w:hint="eastAsia" w:ascii="仿宋" w:hAnsi="仿宋" w:eastAsia="仿宋"/>
          <w:b/>
          <w:bCs w:val="0"/>
          <w:sz w:val="24"/>
          <w:highlight w:val="none"/>
        </w:rPr>
        <w:t>2.3.1和2.</w:t>
      </w:r>
      <w:r>
        <w:rPr>
          <w:rFonts w:hint="eastAsia" w:ascii="仿宋" w:hAnsi="仿宋" w:eastAsia="仿宋"/>
          <w:b/>
          <w:bCs w:val="0"/>
          <w:sz w:val="24"/>
          <w:highlight w:val="none"/>
          <w:lang w:val="en-US" w:eastAsia="zh-CN"/>
        </w:rPr>
        <w:t>6</w:t>
      </w:r>
      <w:r>
        <w:rPr>
          <w:rFonts w:hint="eastAsia" w:ascii="仿宋" w:hAnsi="仿宋" w:eastAsia="仿宋"/>
          <w:b/>
          <w:bCs w:val="0"/>
          <w:sz w:val="24"/>
          <w:highlight w:val="none"/>
        </w:rPr>
        <w:t>.</w:t>
      </w:r>
      <w:r>
        <w:rPr>
          <w:rFonts w:hint="eastAsia" w:ascii="仿宋" w:hAnsi="仿宋" w:eastAsia="仿宋"/>
          <w:b/>
          <w:bCs w:val="0"/>
          <w:sz w:val="24"/>
          <w:highlight w:val="none"/>
          <w:lang w:val="en-US" w:eastAsia="zh-CN"/>
        </w:rPr>
        <w:t>2</w:t>
      </w:r>
      <w:r>
        <w:rPr>
          <w:rFonts w:hint="eastAsia" w:ascii="仿宋" w:hAnsi="仿宋" w:eastAsia="仿宋"/>
          <w:b/>
          <w:bCs w:val="0"/>
          <w:sz w:val="24"/>
          <w:highlight w:val="none"/>
        </w:rPr>
        <w:t>的情况外</w:t>
      </w:r>
      <w:r>
        <w:rPr>
          <w:rFonts w:hint="eastAsia" w:ascii="仿宋" w:hAnsi="仿宋" w:eastAsia="仿宋"/>
          <w:b/>
          <w:sz w:val="24"/>
          <w:highlight w:val="none"/>
        </w:rPr>
        <w:t>，</w:t>
      </w:r>
      <w:r>
        <w:rPr>
          <w:rFonts w:hint="eastAsia" w:ascii="仿宋" w:hAnsi="仿宋" w:eastAsia="仿宋"/>
          <w:sz w:val="24"/>
          <w:highlight w:val="none"/>
        </w:rPr>
        <w:t>在采购过程中符合要求的供应商或者报价未超过采购预算的供应商不足3家的。</w:t>
      </w:r>
    </w:p>
    <w:p w14:paraId="26C423DB">
      <w:pPr>
        <w:pStyle w:val="3"/>
        <w:keepNext w:val="0"/>
        <w:keepLines w:val="0"/>
        <w:pageBreakBefore w:val="0"/>
        <w:kinsoku/>
        <w:wordWrap/>
        <w:overflowPunct/>
        <w:topLinePunct w:val="0"/>
        <w:autoSpaceDE/>
        <w:autoSpaceDN/>
        <w:bidi w:val="0"/>
        <w:snapToGrid/>
        <w:spacing w:before="0" w:after="0" w:line="360" w:lineRule="auto"/>
        <w:ind w:firstLine="472" w:firstLineChars="196"/>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3.综合评分</w:t>
      </w:r>
    </w:p>
    <w:p w14:paraId="2CF083F4">
      <w:pPr>
        <w:pStyle w:val="10"/>
        <w:keepNext w:val="0"/>
        <w:keepLines w:val="0"/>
        <w:pageBreakBefore w:val="0"/>
        <w:widowControl w:val="0"/>
        <w:tabs>
          <w:tab w:val="left" w:pos="600"/>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highlight w:val="none"/>
        </w:rPr>
      </w:pPr>
      <w:r>
        <w:rPr>
          <w:rFonts w:hint="eastAsia" w:ascii="仿宋" w:hAnsi="仿宋" w:eastAsia="仿宋"/>
          <w:sz w:val="24"/>
          <w:highlight w:val="none"/>
        </w:rPr>
        <w:t>3.1</w:t>
      </w:r>
      <w:r>
        <w:rPr>
          <w:rFonts w:hint="eastAsia" w:ascii="仿宋" w:hAnsi="仿宋" w:eastAsia="仿宋"/>
          <w:sz w:val="24"/>
          <w:szCs w:val="24"/>
          <w:highlight w:val="none"/>
        </w:rPr>
        <w:t>综合评分明细表</w:t>
      </w:r>
    </w:p>
    <w:tbl>
      <w:tblPr>
        <w:tblStyle w:val="25"/>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88"/>
        <w:gridCol w:w="960"/>
        <w:gridCol w:w="5835"/>
        <w:gridCol w:w="1221"/>
      </w:tblGrid>
      <w:tr w14:paraId="0EA5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15" w:type="dxa"/>
            <w:noWrap w:val="0"/>
            <w:vAlign w:val="center"/>
          </w:tcPr>
          <w:p w14:paraId="0DE9849A">
            <w:pPr>
              <w:snapToGrid w:val="0"/>
              <w:ind w:firstLine="28"/>
              <w:jc w:val="center"/>
              <w:rPr>
                <w:rFonts w:hint="eastAsia" w:ascii="仿宋" w:hAnsi="仿宋" w:eastAsia="仿宋" w:cs="仿宋"/>
                <w:b/>
                <w:bCs/>
                <w:color w:val="auto"/>
                <w:sz w:val="22"/>
                <w:szCs w:val="21"/>
                <w:highlight w:val="none"/>
              </w:rPr>
            </w:pPr>
            <w:r>
              <w:rPr>
                <w:rFonts w:hint="eastAsia" w:ascii="仿宋" w:hAnsi="仿宋" w:eastAsia="仿宋" w:cs="仿宋"/>
                <w:b/>
                <w:bCs/>
                <w:color w:val="auto"/>
                <w:sz w:val="22"/>
                <w:szCs w:val="21"/>
                <w:highlight w:val="none"/>
              </w:rPr>
              <w:t>序号</w:t>
            </w:r>
          </w:p>
        </w:tc>
        <w:tc>
          <w:tcPr>
            <w:tcW w:w="1288" w:type="dxa"/>
            <w:noWrap w:val="0"/>
            <w:vAlign w:val="center"/>
          </w:tcPr>
          <w:p w14:paraId="128FE9A2">
            <w:pPr>
              <w:snapToGrid w:val="0"/>
              <w:ind w:firstLine="28" w:firstLineChars="0"/>
              <w:jc w:val="center"/>
              <w:rPr>
                <w:rFonts w:hint="eastAsia" w:ascii="仿宋" w:hAnsi="仿宋" w:eastAsia="仿宋" w:cs="仿宋"/>
                <w:b/>
                <w:bCs/>
                <w:color w:val="auto"/>
                <w:sz w:val="22"/>
                <w:szCs w:val="21"/>
                <w:highlight w:val="none"/>
              </w:rPr>
            </w:pPr>
            <w:r>
              <w:rPr>
                <w:rFonts w:hint="eastAsia" w:ascii="仿宋" w:hAnsi="仿宋" w:eastAsia="仿宋" w:cs="仿宋"/>
                <w:b/>
                <w:bCs/>
                <w:color w:val="auto"/>
                <w:sz w:val="22"/>
                <w:szCs w:val="21"/>
                <w:highlight w:val="none"/>
              </w:rPr>
              <w:t>评</w:t>
            </w:r>
            <w:r>
              <w:rPr>
                <w:rFonts w:hint="eastAsia" w:ascii="仿宋" w:hAnsi="仿宋" w:eastAsia="仿宋" w:cs="仿宋"/>
                <w:b/>
                <w:bCs/>
                <w:color w:val="auto"/>
                <w:sz w:val="22"/>
                <w:szCs w:val="21"/>
                <w:highlight w:val="none"/>
                <w:lang w:eastAsia="zh-CN"/>
              </w:rPr>
              <w:t>审</w:t>
            </w:r>
            <w:r>
              <w:rPr>
                <w:rFonts w:hint="eastAsia" w:ascii="仿宋" w:hAnsi="仿宋" w:eastAsia="仿宋" w:cs="仿宋"/>
                <w:b/>
                <w:bCs/>
                <w:color w:val="auto"/>
                <w:sz w:val="22"/>
                <w:szCs w:val="21"/>
                <w:highlight w:val="none"/>
              </w:rPr>
              <w:t>因素</w:t>
            </w:r>
          </w:p>
        </w:tc>
        <w:tc>
          <w:tcPr>
            <w:tcW w:w="960" w:type="dxa"/>
            <w:noWrap w:val="0"/>
            <w:vAlign w:val="center"/>
          </w:tcPr>
          <w:p w14:paraId="68EBBF02">
            <w:pPr>
              <w:snapToGrid w:val="0"/>
              <w:ind w:firstLine="28" w:firstLineChars="0"/>
              <w:jc w:val="center"/>
              <w:rPr>
                <w:rFonts w:hint="eastAsia" w:ascii="仿宋" w:hAnsi="仿宋" w:eastAsia="仿宋" w:cs="仿宋"/>
                <w:b/>
                <w:bCs/>
                <w:color w:val="auto"/>
                <w:sz w:val="22"/>
                <w:szCs w:val="21"/>
                <w:highlight w:val="none"/>
              </w:rPr>
            </w:pPr>
            <w:r>
              <w:rPr>
                <w:rFonts w:hint="eastAsia" w:ascii="仿宋" w:hAnsi="仿宋" w:eastAsia="仿宋" w:cs="仿宋"/>
                <w:b/>
                <w:bCs/>
                <w:color w:val="auto"/>
                <w:sz w:val="22"/>
                <w:szCs w:val="21"/>
                <w:highlight w:val="none"/>
                <w:lang w:val="en-US" w:eastAsia="zh-CN"/>
              </w:rPr>
              <w:t>权重后</w:t>
            </w:r>
            <w:r>
              <w:rPr>
                <w:rFonts w:hint="eastAsia" w:ascii="仿宋" w:hAnsi="仿宋" w:eastAsia="仿宋" w:cs="仿宋"/>
                <w:b/>
                <w:bCs/>
                <w:color w:val="auto"/>
                <w:sz w:val="22"/>
                <w:szCs w:val="21"/>
                <w:highlight w:val="none"/>
              </w:rPr>
              <w:t>分值</w:t>
            </w:r>
          </w:p>
        </w:tc>
        <w:tc>
          <w:tcPr>
            <w:tcW w:w="5835" w:type="dxa"/>
            <w:noWrap w:val="0"/>
            <w:vAlign w:val="center"/>
          </w:tcPr>
          <w:p w14:paraId="2544CBAE">
            <w:pPr>
              <w:snapToGrid w:val="0"/>
              <w:ind w:firstLine="28"/>
              <w:jc w:val="center"/>
              <w:rPr>
                <w:rFonts w:hint="eastAsia" w:ascii="仿宋" w:hAnsi="仿宋" w:eastAsia="仿宋" w:cs="仿宋"/>
                <w:b/>
                <w:bCs/>
                <w:color w:val="auto"/>
                <w:sz w:val="22"/>
                <w:szCs w:val="21"/>
                <w:highlight w:val="none"/>
              </w:rPr>
            </w:pPr>
            <w:r>
              <w:rPr>
                <w:rFonts w:hint="eastAsia" w:ascii="仿宋" w:hAnsi="仿宋" w:eastAsia="仿宋" w:cs="仿宋"/>
                <w:b/>
                <w:bCs/>
                <w:color w:val="auto"/>
                <w:sz w:val="22"/>
                <w:szCs w:val="21"/>
                <w:highlight w:val="none"/>
              </w:rPr>
              <w:t>评分标准</w:t>
            </w:r>
          </w:p>
        </w:tc>
        <w:tc>
          <w:tcPr>
            <w:tcW w:w="1221" w:type="dxa"/>
            <w:noWrap w:val="0"/>
            <w:vAlign w:val="center"/>
          </w:tcPr>
          <w:p w14:paraId="3202103C">
            <w:pPr>
              <w:snapToGrid w:val="0"/>
              <w:ind w:firstLine="28"/>
              <w:jc w:val="center"/>
              <w:rPr>
                <w:rFonts w:hint="eastAsia" w:ascii="仿宋" w:hAnsi="仿宋" w:eastAsia="仿宋" w:cs="仿宋"/>
                <w:b/>
                <w:bCs/>
                <w:color w:val="auto"/>
                <w:sz w:val="22"/>
                <w:szCs w:val="21"/>
                <w:highlight w:val="none"/>
                <w:lang w:val="en-US" w:eastAsia="zh-CN"/>
              </w:rPr>
            </w:pPr>
            <w:r>
              <w:rPr>
                <w:rFonts w:hint="eastAsia" w:ascii="仿宋" w:hAnsi="仿宋" w:eastAsia="仿宋" w:cs="仿宋"/>
                <w:b/>
                <w:bCs/>
                <w:color w:val="auto"/>
                <w:sz w:val="22"/>
                <w:szCs w:val="21"/>
                <w:highlight w:val="none"/>
                <w:lang w:val="en-US" w:eastAsia="zh-CN"/>
              </w:rPr>
              <w:t>说明</w:t>
            </w:r>
          </w:p>
        </w:tc>
      </w:tr>
      <w:tr w14:paraId="290D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715" w:type="dxa"/>
            <w:noWrap w:val="0"/>
            <w:vAlign w:val="center"/>
          </w:tcPr>
          <w:p w14:paraId="5E50FAB3">
            <w:pPr>
              <w:widowControl/>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288" w:type="dxa"/>
            <w:noWrap w:val="0"/>
            <w:vAlign w:val="center"/>
          </w:tcPr>
          <w:p w14:paraId="05A9CB7D">
            <w:pPr>
              <w:widowControl/>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报价</w:t>
            </w:r>
          </w:p>
        </w:tc>
        <w:tc>
          <w:tcPr>
            <w:tcW w:w="960" w:type="dxa"/>
            <w:noWrap w:val="0"/>
            <w:vAlign w:val="center"/>
          </w:tcPr>
          <w:p w14:paraId="63BAF645">
            <w:pPr>
              <w:widowControl/>
              <w:spacing w:line="36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1"/>
                <w:szCs w:val="21"/>
                <w:lang w:val="en-US" w:eastAsia="zh-CN"/>
              </w:rPr>
              <w:t>34</w:t>
            </w:r>
            <w:r>
              <w:rPr>
                <w:rFonts w:hint="eastAsia" w:ascii="仿宋" w:hAnsi="仿宋" w:eastAsia="仿宋" w:cs="仿宋"/>
                <w:color w:val="auto"/>
                <w:kern w:val="0"/>
                <w:sz w:val="21"/>
                <w:szCs w:val="21"/>
              </w:rPr>
              <w:t>分</w:t>
            </w:r>
          </w:p>
        </w:tc>
        <w:tc>
          <w:tcPr>
            <w:tcW w:w="5835" w:type="dxa"/>
            <w:noWrap w:val="0"/>
            <w:vAlign w:val="center"/>
          </w:tcPr>
          <w:p w14:paraId="53E5AC75">
            <w:pPr>
              <w:widowControl/>
              <w:spacing w:line="360" w:lineRule="exact"/>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1"/>
                <w:szCs w:val="21"/>
              </w:rPr>
              <w:t>（1）满足采购文件要求且响应价格最低的响应报价为评标基准价，其价格分为满分；响应报价得分=(评标基准价／投标报价)*3</w:t>
            </w:r>
            <w:r>
              <w:rPr>
                <w:rFonts w:hint="eastAsia" w:ascii="仿宋" w:hAnsi="仿宋" w:eastAsia="仿宋" w:cs="仿宋"/>
                <w:color w:val="auto"/>
                <w:kern w:val="0"/>
                <w:sz w:val="21"/>
                <w:szCs w:val="21"/>
                <w:lang w:val="en-US" w:eastAsia="zh-CN"/>
              </w:rPr>
              <w:t>4</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rPr>
              <w:br w:type="textWrapping"/>
            </w:r>
            <w:r>
              <w:rPr>
                <w:rFonts w:hint="eastAsia" w:ascii="仿宋" w:hAnsi="仿宋" w:eastAsia="仿宋" w:cs="仿宋"/>
                <w:color w:val="auto"/>
                <w:kern w:val="0"/>
                <w:sz w:val="21"/>
                <w:szCs w:val="21"/>
              </w:rPr>
              <w:t>（2）对符合小型和微型企业参与投标报价给予10%的扣除，用扣除后的价格参与评审(小微企业应提供《中小企业声明函》原件)、残疾人福利性单位应当提供《残疾人福利性单位声明函》原件)、监狱企业应当提供《监狱企业证明》原件）。</w:t>
            </w:r>
          </w:p>
        </w:tc>
        <w:tc>
          <w:tcPr>
            <w:tcW w:w="1221" w:type="dxa"/>
            <w:noWrap w:val="0"/>
            <w:vAlign w:val="center"/>
          </w:tcPr>
          <w:p w14:paraId="4A9FCB41">
            <w:pPr>
              <w:widowControl/>
              <w:spacing w:line="36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1"/>
                <w:szCs w:val="21"/>
                <w:lang w:val="en-US" w:eastAsia="zh-CN"/>
              </w:rPr>
              <w:t>客观分</w:t>
            </w:r>
          </w:p>
        </w:tc>
      </w:tr>
      <w:tr w14:paraId="3664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15" w:type="dxa"/>
            <w:noWrap w:val="0"/>
            <w:vAlign w:val="center"/>
          </w:tcPr>
          <w:p w14:paraId="7564EE33">
            <w:pPr>
              <w:widowControl/>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1288" w:type="dxa"/>
            <w:noWrap w:val="0"/>
            <w:vAlign w:val="center"/>
          </w:tcPr>
          <w:p w14:paraId="5834657D">
            <w:pPr>
              <w:widowControl/>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技术参数要求</w:t>
            </w:r>
          </w:p>
        </w:tc>
        <w:tc>
          <w:tcPr>
            <w:tcW w:w="960" w:type="dxa"/>
            <w:noWrap w:val="0"/>
            <w:vAlign w:val="center"/>
          </w:tcPr>
          <w:p w14:paraId="061F32CA">
            <w:pPr>
              <w:widowControl/>
              <w:spacing w:line="360" w:lineRule="exact"/>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color w:val="auto"/>
                <w:kern w:val="0"/>
                <w:sz w:val="21"/>
                <w:szCs w:val="21"/>
                <w:lang w:val="en-US" w:eastAsia="zh-CN"/>
              </w:rPr>
              <w:t>30</w:t>
            </w:r>
            <w:r>
              <w:rPr>
                <w:rFonts w:hint="eastAsia" w:ascii="仿宋" w:hAnsi="仿宋" w:eastAsia="仿宋" w:cs="仿宋"/>
                <w:color w:val="auto"/>
                <w:kern w:val="0"/>
                <w:sz w:val="21"/>
                <w:szCs w:val="21"/>
              </w:rPr>
              <w:t>分</w:t>
            </w:r>
          </w:p>
        </w:tc>
        <w:tc>
          <w:tcPr>
            <w:tcW w:w="5835" w:type="dxa"/>
            <w:noWrap w:val="0"/>
            <w:vAlign w:val="center"/>
          </w:tcPr>
          <w:p w14:paraId="22AECBA2">
            <w:pPr>
              <w:widowControl/>
              <w:spacing w:line="36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以采购文件中技术参数表中计算：依据各供应商技术要求响应情况进行评分，全部满足采购文件要求的得</w:t>
            </w:r>
            <w:r>
              <w:rPr>
                <w:rFonts w:hint="eastAsia" w:ascii="仿宋" w:hAnsi="仿宋" w:eastAsia="仿宋" w:cs="仿宋"/>
                <w:color w:val="auto"/>
                <w:kern w:val="0"/>
                <w:sz w:val="21"/>
                <w:szCs w:val="21"/>
                <w:lang w:val="en-US" w:eastAsia="zh-CN"/>
              </w:rPr>
              <w:t>30</w:t>
            </w:r>
            <w:r>
              <w:rPr>
                <w:rFonts w:hint="eastAsia" w:ascii="仿宋" w:hAnsi="仿宋" w:eastAsia="仿宋" w:cs="仿宋"/>
                <w:color w:val="auto"/>
                <w:kern w:val="0"/>
                <w:sz w:val="21"/>
                <w:szCs w:val="21"/>
              </w:rPr>
              <w:t>分。</w:t>
            </w:r>
          </w:p>
          <w:p w14:paraId="35780180">
            <w:pPr>
              <w:widowControl/>
              <w:spacing w:line="360" w:lineRule="exact"/>
              <w:jc w:val="left"/>
              <w:rPr>
                <w:rFonts w:hint="eastAsia" w:ascii="仿宋" w:hAnsi="仿宋" w:eastAsia="仿宋" w:cs="仿宋"/>
                <w:color w:val="auto"/>
                <w:highlight w:val="none"/>
                <w:lang w:val="en-US" w:eastAsia="zh-CN"/>
              </w:rPr>
            </w:pPr>
            <w:r>
              <w:rPr>
                <w:rFonts w:hint="eastAsia" w:ascii="仿宋" w:hAnsi="仿宋" w:eastAsia="仿宋" w:cs="仿宋"/>
                <w:color w:val="auto"/>
                <w:kern w:val="0"/>
                <w:sz w:val="22"/>
                <w:szCs w:val="22"/>
              </w:rPr>
              <w:t>①带▲符号技术参数需根据参数内要求提供</w:t>
            </w:r>
            <w:r>
              <w:rPr>
                <w:rFonts w:hint="eastAsia" w:ascii="仿宋" w:hAnsi="仿宋" w:eastAsia="仿宋" w:cs="仿宋"/>
                <w:color w:val="auto"/>
                <w:kern w:val="0"/>
                <w:sz w:val="22"/>
                <w:szCs w:val="22"/>
                <w:lang w:val="en-US" w:eastAsia="zh-CN"/>
              </w:rPr>
              <w:t>实物照片证明</w:t>
            </w:r>
            <w:r>
              <w:rPr>
                <w:rFonts w:hint="eastAsia" w:ascii="仿宋" w:hAnsi="仿宋" w:eastAsia="仿宋" w:cs="仿宋"/>
                <w:color w:val="auto"/>
                <w:kern w:val="0"/>
                <w:sz w:val="22"/>
                <w:szCs w:val="22"/>
              </w:rPr>
              <w:t>材料，得</w:t>
            </w:r>
            <w:r>
              <w:rPr>
                <w:rFonts w:hint="eastAsia" w:ascii="仿宋" w:hAnsi="仿宋" w:eastAsia="仿宋" w:cs="仿宋"/>
                <w:color w:val="auto"/>
                <w:kern w:val="0"/>
                <w:sz w:val="22"/>
                <w:szCs w:val="22"/>
                <w:lang w:val="en-US" w:eastAsia="zh-CN"/>
              </w:rPr>
              <w:t>3</w:t>
            </w:r>
            <w:r>
              <w:rPr>
                <w:rFonts w:hint="eastAsia" w:ascii="仿宋" w:hAnsi="仿宋" w:eastAsia="仿宋" w:cs="仿宋"/>
                <w:color w:val="auto"/>
                <w:kern w:val="0"/>
                <w:sz w:val="22"/>
                <w:szCs w:val="22"/>
              </w:rPr>
              <w:t>分，共</w:t>
            </w:r>
            <w:r>
              <w:rPr>
                <w:rFonts w:hint="eastAsia" w:ascii="仿宋" w:hAnsi="仿宋" w:eastAsia="仿宋" w:cs="仿宋"/>
                <w:color w:val="auto"/>
                <w:kern w:val="0"/>
                <w:sz w:val="22"/>
                <w:szCs w:val="22"/>
                <w:lang w:val="en-US" w:eastAsia="zh-CN"/>
              </w:rPr>
              <w:t>3</w:t>
            </w:r>
            <w:r>
              <w:rPr>
                <w:rFonts w:hint="eastAsia" w:ascii="仿宋" w:hAnsi="仿宋" w:eastAsia="仿宋" w:cs="仿宋"/>
                <w:color w:val="auto"/>
                <w:kern w:val="0"/>
                <w:sz w:val="22"/>
                <w:szCs w:val="22"/>
              </w:rPr>
              <w:t>分，不提供或提供的材料不满足要求不得分；</w:t>
            </w:r>
            <w:r>
              <w:rPr>
                <w:rFonts w:hint="eastAsia" w:ascii="仿宋" w:hAnsi="仿宋" w:eastAsia="仿宋" w:cs="仿宋"/>
                <w:color w:val="auto"/>
                <w:kern w:val="0"/>
                <w:sz w:val="21"/>
                <w:szCs w:val="21"/>
              </w:rPr>
              <w:br w:type="textWrapping"/>
            </w:r>
            <w:r>
              <w:rPr>
                <w:rFonts w:hint="eastAsia" w:ascii="仿宋" w:hAnsi="仿宋" w:eastAsia="仿宋" w:cs="仿宋"/>
                <w:color w:val="auto"/>
                <w:kern w:val="0"/>
                <w:sz w:val="22"/>
                <w:szCs w:val="22"/>
              </w:rPr>
              <w:t>②一般技术参数</w:t>
            </w:r>
            <w:r>
              <w:rPr>
                <w:rFonts w:hint="eastAsia" w:ascii="仿宋" w:hAnsi="仿宋" w:eastAsia="仿宋" w:cs="仿宋"/>
                <w:color w:val="auto"/>
                <w:kern w:val="0"/>
                <w:sz w:val="22"/>
                <w:szCs w:val="22"/>
                <w:lang w:eastAsia="zh-CN"/>
              </w:rPr>
              <w:t>（</w:t>
            </w:r>
            <w:r>
              <w:rPr>
                <w:rFonts w:hint="eastAsia" w:ascii="仿宋" w:hAnsi="仿宋" w:eastAsia="仿宋" w:cs="仿宋"/>
                <w:color w:val="auto"/>
                <w:kern w:val="0"/>
                <w:sz w:val="22"/>
                <w:szCs w:val="22"/>
              </w:rPr>
              <w:t>第</w:t>
            </w:r>
            <w:r>
              <w:rPr>
                <w:rFonts w:hint="eastAsia" w:ascii="仿宋" w:hAnsi="仿宋" w:eastAsia="仿宋" w:cs="仿宋"/>
                <w:color w:val="auto"/>
                <w:kern w:val="0"/>
                <w:sz w:val="22"/>
                <w:szCs w:val="22"/>
                <w:lang w:val="en-US" w:eastAsia="zh-CN"/>
              </w:rPr>
              <w:t>2</w:t>
            </w:r>
            <w:r>
              <w:rPr>
                <w:rFonts w:hint="eastAsia" w:ascii="仿宋" w:hAnsi="仿宋" w:eastAsia="仿宋" w:cs="仿宋"/>
                <w:color w:val="auto"/>
                <w:kern w:val="0"/>
                <w:sz w:val="22"/>
                <w:szCs w:val="22"/>
              </w:rPr>
              <w:t>-</w:t>
            </w:r>
            <w:r>
              <w:rPr>
                <w:rFonts w:hint="eastAsia" w:ascii="仿宋" w:hAnsi="仿宋" w:eastAsia="仿宋" w:cs="仿宋"/>
                <w:color w:val="auto"/>
                <w:kern w:val="0"/>
                <w:sz w:val="22"/>
                <w:szCs w:val="22"/>
                <w:lang w:val="en-US" w:eastAsia="zh-CN"/>
              </w:rPr>
              <w:t>91</w:t>
            </w:r>
            <w:r>
              <w:rPr>
                <w:rFonts w:hint="eastAsia" w:ascii="仿宋" w:hAnsi="仿宋" w:eastAsia="仿宋" w:cs="仿宋"/>
                <w:color w:val="auto"/>
                <w:kern w:val="0"/>
                <w:sz w:val="22"/>
                <w:szCs w:val="22"/>
              </w:rPr>
              <w:t>项产品</w:t>
            </w:r>
            <w:r>
              <w:rPr>
                <w:rFonts w:hint="eastAsia" w:ascii="仿宋" w:hAnsi="仿宋" w:eastAsia="仿宋" w:cs="仿宋"/>
                <w:color w:val="auto"/>
                <w:kern w:val="0"/>
                <w:sz w:val="22"/>
                <w:szCs w:val="22"/>
                <w:lang w:eastAsia="zh-CN"/>
              </w:rPr>
              <w:t>）</w:t>
            </w:r>
            <w:r>
              <w:rPr>
                <w:rFonts w:hint="eastAsia" w:ascii="仿宋" w:hAnsi="仿宋" w:eastAsia="仿宋" w:cs="仿宋"/>
                <w:color w:val="auto"/>
                <w:sz w:val="21"/>
                <w:szCs w:val="21"/>
              </w:rPr>
              <w:t>每有一项指标有负偏离的，</w:t>
            </w:r>
            <w:r>
              <w:rPr>
                <w:rFonts w:hint="eastAsia" w:ascii="仿宋" w:hAnsi="仿宋" w:eastAsia="仿宋" w:cs="仿宋"/>
                <w:color w:val="auto"/>
                <w:sz w:val="21"/>
                <w:szCs w:val="21"/>
                <w:highlight w:val="none"/>
              </w:rPr>
              <w:t>扣</w:t>
            </w:r>
            <w:r>
              <w:rPr>
                <w:rFonts w:hint="eastAsia" w:ascii="仿宋" w:hAnsi="仿宋" w:eastAsia="仿宋" w:cs="仿宋"/>
                <w:color w:val="auto"/>
                <w:sz w:val="21"/>
                <w:szCs w:val="21"/>
                <w:highlight w:val="none"/>
                <w:lang w:val="en-US" w:eastAsia="zh-CN"/>
              </w:rPr>
              <w:t>0.3</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扣完为止</w:t>
            </w:r>
            <w:r>
              <w:rPr>
                <w:rFonts w:hint="eastAsia" w:ascii="仿宋" w:hAnsi="仿宋" w:eastAsia="仿宋" w:cs="仿宋"/>
                <w:color w:val="auto"/>
                <w:sz w:val="21"/>
                <w:szCs w:val="21"/>
              </w:rPr>
              <w:t>。</w:t>
            </w:r>
          </w:p>
        </w:tc>
        <w:tc>
          <w:tcPr>
            <w:tcW w:w="1221" w:type="dxa"/>
            <w:noWrap w:val="0"/>
            <w:vAlign w:val="center"/>
          </w:tcPr>
          <w:p w14:paraId="637BAEEA">
            <w:pPr>
              <w:widowControl/>
              <w:spacing w:line="36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1"/>
                <w:szCs w:val="21"/>
                <w:lang w:val="en-US" w:eastAsia="zh-CN"/>
              </w:rPr>
              <w:t>客观分</w:t>
            </w:r>
          </w:p>
        </w:tc>
      </w:tr>
      <w:tr w14:paraId="6061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5" w:type="dxa"/>
            <w:noWrap w:val="0"/>
            <w:vAlign w:val="center"/>
          </w:tcPr>
          <w:p w14:paraId="037171FC">
            <w:pPr>
              <w:widowControl/>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1288" w:type="dxa"/>
            <w:noWrap w:val="0"/>
            <w:vAlign w:val="center"/>
          </w:tcPr>
          <w:p w14:paraId="233CAE70">
            <w:pPr>
              <w:widowControl/>
              <w:spacing w:line="36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1"/>
                <w:szCs w:val="21"/>
              </w:rPr>
              <w:t>履约能力</w:t>
            </w:r>
          </w:p>
        </w:tc>
        <w:tc>
          <w:tcPr>
            <w:tcW w:w="960" w:type="dxa"/>
            <w:noWrap w:val="0"/>
            <w:vAlign w:val="center"/>
          </w:tcPr>
          <w:p w14:paraId="49AE5773">
            <w:pPr>
              <w:widowControl/>
              <w:spacing w:line="36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分</w:t>
            </w:r>
          </w:p>
        </w:tc>
        <w:tc>
          <w:tcPr>
            <w:tcW w:w="5835" w:type="dxa"/>
            <w:noWrap w:val="0"/>
            <w:vAlign w:val="center"/>
          </w:tcPr>
          <w:p w14:paraId="16260326">
            <w:pPr>
              <w:widowControl/>
              <w:spacing w:line="360" w:lineRule="exact"/>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1"/>
                <w:szCs w:val="21"/>
                <w:lang w:val="en-US" w:eastAsia="zh-CN"/>
              </w:rPr>
              <w:t>供应商</w:t>
            </w:r>
            <w:r>
              <w:rPr>
                <w:rFonts w:hint="eastAsia" w:ascii="仿宋" w:hAnsi="仿宋" w:eastAsia="仿宋" w:cs="仿宋"/>
                <w:color w:val="auto"/>
                <w:kern w:val="0"/>
                <w:sz w:val="21"/>
                <w:szCs w:val="21"/>
              </w:rPr>
              <w:t>提供202</w:t>
            </w: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年1月1日以来的类似业绩，每提供1个业绩得</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分，最多得</w:t>
            </w:r>
            <w:r>
              <w:rPr>
                <w:rFonts w:hint="eastAsia" w:ascii="仿宋" w:hAnsi="仿宋" w:eastAsia="仿宋" w:cs="仿宋"/>
                <w:color w:val="auto"/>
                <w:kern w:val="0"/>
                <w:sz w:val="21"/>
                <w:szCs w:val="21"/>
                <w:lang w:val="en-US" w:eastAsia="zh-CN"/>
              </w:rPr>
              <w:t>6</w:t>
            </w:r>
            <w:r>
              <w:rPr>
                <w:rFonts w:hint="eastAsia" w:ascii="仿宋" w:hAnsi="仿宋" w:eastAsia="仿宋" w:cs="仿宋"/>
                <w:color w:val="auto"/>
                <w:kern w:val="0"/>
                <w:sz w:val="21"/>
                <w:szCs w:val="21"/>
              </w:rPr>
              <w:t>分。</w:t>
            </w:r>
            <w:r>
              <w:rPr>
                <w:rFonts w:hint="eastAsia" w:ascii="仿宋" w:hAnsi="仿宋" w:eastAsia="仿宋" w:cs="仿宋"/>
                <w:color w:val="auto"/>
                <w:kern w:val="0"/>
                <w:sz w:val="21"/>
                <w:szCs w:val="21"/>
              </w:rPr>
              <w:br w:type="textWrapping"/>
            </w:r>
            <w:r>
              <w:rPr>
                <w:rFonts w:hint="eastAsia" w:ascii="仿宋" w:hAnsi="仿宋" w:eastAsia="仿宋" w:cs="仿宋"/>
                <w:color w:val="auto"/>
                <w:kern w:val="0"/>
                <w:sz w:val="21"/>
                <w:szCs w:val="21"/>
              </w:rPr>
              <w:t>注：提供合同（协议）复印件加盖供应商公章。</w:t>
            </w:r>
          </w:p>
        </w:tc>
        <w:tc>
          <w:tcPr>
            <w:tcW w:w="1221" w:type="dxa"/>
            <w:noWrap w:val="0"/>
            <w:vAlign w:val="center"/>
          </w:tcPr>
          <w:p w14:paraId="5D0890CB">
            <w:pPr>
              <w:widowControl/>
              <w:spacing w:line="36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1"/>
                <w:szCs w:val="21"/>
                <w:lang w:val="en-US" w:eastAsia="zh-CN"/>
              </w:rPr>
              <w:t>客观分</w:t>
            </w:r>
          </w:p>
        </w:tc>
      </w:tr>
      <w:tr w14:paraId="1BF2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15" w:type="dxa"/>
            <w:noWrap w:val="0"/>
            <w:vAlign w:val="center"/>
          </w:tcPr>
          <w:p w14:paraId="190BCCAE">
            <w:pPr>
              <w:snapToGrid w:val="0"/>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4</w:t>
            </w:r>
          </w:p>
        </w:tc>
        <w:tc>
          <w:tcPr>
            <w:tcW w:w="1288" w:type="dxa"/>
            <w:noWrap w:val="0"/>
            <w:vAlign w:val="center"/>
          </w:tcPr>
          <w:p w14:paraId="0B07DE28">
            <w:pPr>
              <w:widowControl/>
              <w:spacing w:line="36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1"/>
                <w:szCs w:val="21"/>
              </w:rPr>
              <w:t>实施方案</w:t>
            </w:r>
          </w:p>
        </w:tc>
        <w:tc>
          <w:tcPr>
            <w:tcW w:w="960" w:type="dxa"/>
            <w:noWrap w:val="0"/>
            <w:vAlign w:val="center"/>
          </w:tcPr>
          <w:p w14:paraId="5FC35627">
            <w:pPr>
              <w:widowControl/>
              <w:spacing w:line="36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1"/>
                <w:szCs w:val="21"/>
                <w:lang w:val="en-US" w:eastAsia="zh-CN"/>
              </w:rPr>
              <w:t>15</w:t>
            </w:r>
            <w:r>
              <w:rPr>
                <w:rFonts w:hint="eastAsia" w:ascii="仿宋" w:hAnsi="仿宋" w:eastAsia="仿宋" w:cs="仿宋"/>
                <w:color w:val="auto"/>
                <w:kern w:val="0"/>
                <w:sz w:val="21"/>
                <w:szCs w:val="21"/>
              </w:rPr>
              <w:t>分</w:t>
            </w:r>
          </w:p>
        </w:tc>
        <w:tc>
          <w:tcPr>
            <w:tcW w:w="5835" w:type="dxa"/>
            <w:noWrap w:val="0"/>
            <w:vAlign w:val="center"/>
          </w:tcPr>
          <w:p w14:paraId="02D3CDC1">
            <w:pPr>
              <w:widowControl/>
              <w:spacing w:line="36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提供项目实施方案（内容包括：①货物备货与运输方案、②货物质量保障措施、</w:t>
            </w:r>
            <w:r>
              <w:rPr>
                <w:rFonts w:hint="eastAsia" w:ascii="仿宋" w:hAnsi="仿宋" w:eastAsia="仿宋" w:cs="仿宋"/>
                <w:color w:val="auto"/>
                <w:kern w:val="0"/>
                <w:sz w:val="21"/>
                <w:szCs w:val="21"/>
                <w:lang w:val="en-US" w:eastAsia="zh-CN"/>
              </w:rPr>
              <w:t>③验收方案、</w:t>
            </w:r>
            <w:r>
              <w:rPr>
                <w:rFonts w:hint="eastAsia" w:ascii="仿宋" w:hAnsi="仿宋" w:eastAsia="仿宋" w:cs="仿宋"/>
                <w:color w:val="auto"/>
                <w:kern w:val="0"/>
                <w:sz w:val="21"/>
                <w:szCs w:val="21"/>
              </w:rPr>
              <w:t>④安装方案、⑤现场服务支持团队）,方案内容齐全且不存在缺陷的得</w:t>
            </w:r>
            <w:r>
              <w:rPr>
                <w:rFonts w:hint="eastAsia" w:ascii="仿宋" w:hAnsi="仿宋" w:eastAsia="仿宋" w:cs="仿宋"/>
                <w:color w:val="auto"/>
                <w:kern w:val="0"/>
                <w:sz w:val="21"/>
                <w:szCs w:val="21"/>
                <w:lang w:val="en-US" w:eastAsia="zh-CN"/>
              </w:rPr>
              <w:t>15</w:t>
            </w:r>
            <w:r>
              <w:rPr>
                <w:rFonts w:hint="eastAsia" w:ascii="仿宋" w:hAnsi="仿宋" w:eastAsia="仿宋" w:cs="仿宋"/>
                <w:color w:val="auto"/>
                <w:kern w:val="0"/>
                <w:sz w:val="21"/>
                <w:szCs w:val="21"/>
              </w:rPr>
              <w:t>分；每有一项内容缺失扣</w:t>
            </w: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分；每有一处存在缺陷的扣</w:t>
            </w:r>
            <w:r>
              <w:rPr>
                <w:rFonts w:hint="eastAsia" w:ascii="仿宋" w:hAnsi="仿宋" w:eastAsia="仿宋" w:cs="仿宋"/>
                <w:color w:val="auto"/>
                <w:kern w:val="0"/>
                <w:sz w:val="21"/>
                <w:szCs w:val="21"/>
                <w:lang w:val="en-US" w:eastAsia="zh-CN"/>
              </w:rPr>
              <w:t>1.5</w:t>
            </w:r>
            <w:r>
              <w:rPr>
                <w:rFonts w:hint="eastAsia" w:ascii="仿宋" w:hAnsi="仿宋" w:eastAsia="仿宋" w:cs="仿宋"/>
                <w:color w:val="auto"/>
                <w:kern w:val="0"/>
                <w:sz w:val="21"/>
                <w:szCs w:val="21"/>
              </w:rPr>
              <w:t>分，该项</w:t>
            </w:r>
            <w:r>
              <w:rPr>
                <w:rFonts w:hint="eastAsia" w:ascii="仿宋" w:hAnsi="仿宋" w:eastAsia="仿宋" w:cs="仿宋"/>
                <w:color w:val="auto"/>
                <w:kern w:val="0"/>
                <w:sz w:val="21"/>
                <w:szCs w:val="21"/>
                <w:lang w:val="en-US" w:eastAsia="zh-CN"/>
              </w:rPr>
              <w:t>15</w:t>
            </w:r>
            <w:r>
              <w:rPr>
                <w:rFonts w:hint="eastAsia" w:ascii="仿宋" w:hAnsi="仿宋" w:eastAsia="仿宋" w:cs="仿宋"/>
                <w:color w:val="auto"/>
                <w:kern w:val="0"/>
                <w:sz w:val="21"/>
                <w:szCs w:val="21"/>
              </w:rPr>
              <w:t xml:space="preserve">分扣完为止；不提供不得分。 </w:t>
            </w:r>
          </w:p>
          <w:p w14:paraId="5698777A">
            <w:pPr>
              <w:widowControl/>
              <w:spacing w:line="360" w:lineRule="exact"/>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1"/>
                <w:szCs w:val="21"/>
              </w:rPr>
              <w:t>注：缺陷是指项目名称错误，地点区域错误，内容与本项目无关，仅有框架或标题，涉及的规范及标准错误等上述任意一种情形。</w:t>
            </w:r>
          </w:p>
        </w:tc>
        <w:tc>
          <w:tcPr>
            <w:tcW w:w="1221" w:type="dxa"/>
            <w:noWrap w:val="0"/>
            <w:vAlign w:val="center"/>
          </w:tcPr>
          <w:p w14:paraId="2CBEA356">
            <w:pPr>
              <w:widowControl/>
              <w:spacing w:line="36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1"/>
                <w:szCs w:val="21"/>
                <w:lang w:val="en-US" w:eastAsia="zh-CN"/>
              </w:rPr>
              <w:t>主观分</w:t>
            </w:r>
          </w:p>
        </w:tc>
      </w:tr>
      <w:tr w14:paraId="1A6C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715" w:type="dxa"/>
            <w:noWrap w:val="0"/>
            <w:vAlign w:val="center"/>
          </w:tcPr>
          <w:p w14:paraId="347C3375">
            <w:pPr>
              <w:snapToGrid w:val="0"/>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5</w:t>
            </w:r>
          </w:p>
        </w:tc>
        <w:tc>
          <w:tcPr>
            <w:tcW w:w="1288" w:type="dxa"/>
            <w:noWrap w:val="0"/>
            <w:vAlign w:val="center"/>
          </w:tcPr>
          <w:p w14:paraId="6C3C6EE0">
            <w:pPr>
              <w:widowControl/>
              <w:spacing w:line="36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1"/>
                <w:szCs w:val="21"/>
              </w:rPr>
              <w:t>售后服务方案</w:t>
            </w:r>
          </w:p>
        </w:tc>
        <w:tc>
          <w:tcPr>
            <w:tcW w:w="960" w:type="dxa"/>
            <w:noWrap w:val="0"/>
            <w:vAlign w:val="center"/>
          </w:tcPr>
          <w:p w14:paraId="09E7AFE7">
            <w:pPr>
              <w:widowControl/>
              <w:spacing w:line="36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1"/>
                <w:szCs w:val="21"/>
                <w:lang w:val="en-US" w:eastAsia="zh-CN"/>
              </w:rPr>
              <w:t>15</w:t>
            </w:r>
            <w:r>
              <w:rPr>
                <w:rFonts w:hint="eastAsia" w:ascii="仿宋" w:hAnsi="仿宋" w:eastAsia="仿宋" w:cs="仿宋"/>
                <w:color w:val="auto"/>
                <w:kern w:val="0"/>
                <w:sz w:val="21"/>
                <w:szCs w:val="21"/>
              </w:rPr>
              <w:t>分</w:t>
            </w:r>
          </w:p>
        </w:tc>
        <w:tc>
          <w:tcPr>
            <w:tcW w:w="5835" w:type="dxa"/>
            <w:noWrap w:val="0"/>
            <w:vAlign w:val="center"/>
          </w:tcPr>
          <w:p w14:paraId="200A90BF">
            <w:pPr>
              <w:widowControl/>
              <w:spacing w:line="360" w:lineRule="exact"/>
              <w:jc w:val="left"/>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提供售后服务方案（内容包括：①售后服务保障措施、②售后服务响应措施；③售后服务人员安排,④系统运行期的维护、安全策略维护，⑤定期现场巡检及技术支持</w:t>
            </w:r>
            <w:r>
              <w:rPr>
                <w:rFonts w:hint="eastAsia" w:ascii="仿宋" w:hAnsi="仿宋" w:eastAsia="仿宋" w:cs="仿宋"/>
                <w:color w:val="auto"/>
                <w:kern w:val="0"/>
                <w:sz w:val="21"/>
                <w:szCs w:val="21"/>
                <w:lang w:val="en-US" w:eastAsia="zh-CN"/>
              </w:rPr>
              <w:t>。</w:t>
            </w:r>
          </w:p>
          <w:p w14:paraId="3F669C37">
            <w:pPr>
              <w:widowControl/>
              <w:spacing w:line="360" w:lineRule="exact"/>
              <w:jc w:val="left"/>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方案内容齐全且不存在缺陷的得</w:t>
            </w:r>
            <w:r>
              <w:rPr>
                <w:rFonts w:hint="eastAsia" w:ascii="仿宋" w:hAnsi="仿宋" w:eastAsia="仿宋" w:cs="仿宋"/>
                <w:color w:val="auto"/>
                <w:kern w:val="0"/>
                <w:sz w:val="21"/>
                <w:szCs w:val="21"/>
                <w:lang w:val="en-US" w:eastAsia="zh-CN"/>
              </w:rPr>
              <w:t>15</w:t>
            </w:r>
            <w:r>
              <w:rPr>
                <w:rFonts w:hint="eastAsia" w:ascii="仿宋" w:hAnsi="仿宋" w:eastAsia="仿宋" w:cs="仿宋"/>
                <w:color w:val="auto"/>
                <w:kern w:val="0"/>
                <w:sz w:val="21"/>
                <w:szCs w:val="21"/>
              </w:rPr>
              <w:t>分；每有一项内容缺失扣</w:t>
            </w: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分；每有一处存在缺陷的扣</w:t>
            </w:r>
            <w:r>
              <w:rPr>
                <w:rFonts w:hint="eastAsia" w:ascii="仿宋" w:hAnsi="仿宋" w:eastAsia="仿宋" w:cs="仿宋"/>
                <w:color w:val="auto"/>
                <w:kern w:val="0"/>
                <w:sz w:val="21"/>
                <w:szCs w:val="21"/>
                <w:lang w:val="en-US" w:eastAsia="zh-CN"/>
              </w:rPr>
              <w:t>1.5</w:t>
            </w:r>
            <w:r>
              <w:rPr>
                <w:rFonts w:hint="eastAsia" w:ascii="仿宋" w:hAnsi="仿宋" w:eastAsia="仿宋" w:cs="仿宋"/>
                <w:color w:val="auto"/>
                <w:kern w:val="0"/>
                <w:sz w:val="21"/>
                <w:szCs w:val="21"/>
              </w:rPr>
              <w:t>分，该项</w:t>
            </w:r>
            <w:r>
              <w:rPr>
                <w:rFonts w:hint="eastAsia" w:ascii="仿宋" w:hAnsi="仿宋" w:eastAsia="仿宋" w:cs="仿宋"/>
                <w:color w:val="auto"/>
                <w:kern w:val="0"/>
                <w:sz w:val="21"/>
                <w:szCs w:val="21"/>
                <w:lang w:val="en-US" w:eastAsia="zh-CN"/>
              </w:rPr>
              <w:t>15</w:t>
            </w:r>
            <w:r>
              <w:rPr>
                <w:rFonts w:hint="eastAsia" w:ascii="仿宋" w:hAnsi="仿宋" w:eastAsia="仿宋" w:cs="仿宋"/>
                <w:color w:val="auto"/>
                <w:kern w:val="0"/>
                <w:sz w:val="21"/>
                <w:szCs w:val="21"/>
              </w:rPr>
              <w:t xml:space="preserve">分扣完为止；不提供不得分。 </w:t>
            </w:r>
          </w:p>
          <w:p w14:paraId="61DC2D95">
            <w:pPr>
              <w:widowControl/>
              <w:spacing w:line="360" w:lineRule="exact"/>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1"/>
                <w:szCs w:val="21"/>
              </w:rPr>
              <w:t>注：缺陷是指项目名称错误，地点区域错误，内容与本项目无关，仅有框架或标题，涉及的规范及标准错误等上述任意一种情形。</w:t>
            </w:r>
          </w:p>
        </w:tc>
        <w:tc>
          <w:tcPr>
            <w:tcW w:w="1221" w:type="dxa"/>
            <w:noWrap w:val="0"/>
            <w:vAlign w:val="center"/>
          </w:tcPr>
          <w:p w14:paraId="7EC5F6EA">
            <w:pPr>
              <w:widowControl/>
              <w:spacing w:line="36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1"/>
                <w:szCs w:val="21"/>
                <w:lang w:val="en-US" w:eastAsia="zh-CN"/>
              </w:rPr>
              <w:t>主观分</w:t>
            </w:r>
          </w:p>
        </w:tc>
      </w:tr>
      <w:tr w14:paraId="2281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19" w:type="dxa"/>
            <w:gridSpan w:val="5"/>
            <w:noWrap w:val="0"/>
            <w:vAlign w:val="center"/>
          </w:tcPr>
          <w:p w14:paraId="231249A1">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b/>
                <w:bCs/>
                <w:sz w:val="22"/>
                <w:szCs w:val="21"/>
                <w:highlight w:val="none"/>
              </w:rPr>
            </w:pPr>
            <w:r>
              <w:rPr>
                <w:rFonts w:hint="eastAsia" w:ascii="仿宋" w:hAnsi="仿宋" w:eastAsia="仿宋" w:cs="仿宋"/>
                <w:b/>
                <w:bCs/>
                <w:sz w:val="22"/>
                <w:szCs w:val="21"/>
                <w:highlight w:val="none"/>
              </w:rPr>
              <w:t>注：：</w:t>
            </w:r>
            <w:r>
              <w:rPr>
                <w:rFonts w:hint="eastAsia" w:ascii="仿宋" w:hAnsi="仿宋" w:eastAsia="仿宋" w:cs="仿宋"/>
                <w:b/>
                <w:bCs/>
                <w:sz w:val="22"/>
                <w:szCs w:val="21"/>
                <w:highlight w:val="none"/>
              </w:rPr>
              <w:fldChar w:fldCharType="begin"/>
            </w:r>
            <w:r>
              <w:rPr>
                <w:rFonts w:hint="eastAsia" w:ascii="仿宋" w:hAnsi="仿宋" w:eastAsia="仿宋" w:cs="仿宋"/>
                <w:b/>
                <w:bCs/>
                <w:sz w:val="22"/>
                <w:szCs w:val="21"/>
                <w:highlight w:val="none"/>
              </w:rPr>
              <w:instrText xml:space="preserve"> = 1 \* GB3 \* MERGEFORMAT </w:instrText>
            </w:r>
            <w:r>
              <w:rPr>
                <w:rFonts w:hint="eastAsia" w:ascii="仿宋" w:hAnsi="仿宋" w:eastAsia="仿宋" w:cs="仿宋"/>
                <w:b/>
                <w:bCs/>
                <w:sz w:val="22"/>
                <w:szCs w:val="21"/>
                <w:highlight w:val="none"/>
              </w:rPr>
              <w:fldChar w:fldCharType="separate"/>
            </w:r>
            <w:r>
              <w:rPr>
                <w:rFonts w:hint="eastAsia" w:ascii="仿宋" w:hAnsi="仿宋" w:eastAsia="仿宋" w:cs="仿宋"/>
                <w:b/>
                <w:bCs/>
                <w:sz w:val="22"/>
                <w:szCs w:val="21"/>
                <w:highlight w:val="none"/>
              </w:rPr>
              <w:t>①</w:t>
            </w:r>
            <w:r>
              <w:rPr>
                <w:rFonts w:hint="eastAsia" w:ascii="仿宋" w:hAnsi="仿宋" w:eastAsia="仿宋" w:cs="仿宋"/>
                <w:b/>
                <w:bCs/>
                <w:sz w:val="22"/>
                <w:szCs w:val="21"/>
                <w:highlight w:val="none"/>
              </w:rPr>
              <w:fldChar w:fldCharType="end"/>
            </w:r>
            <w:r>
              <w:rPr>
                <w:rFonts w:hint="eastAsia" w:ascii="仿宋" w:hAnsi="仿宋" w:eastAsia="仿宋" w:cs="仿宋"/>
                <w:b/>
                <w:bCs/>
                <w:sz w:val="22"/>
                <w:szCs w:val="21"/>
                <w:highlight w:val="none"/>
              </w:rPr>
              <w:t>评分的取值按四舍五入法，小数点后保留两位。</w:t>
            </w:r>
            <w:r>
              <w:rPr>
                <w:rFonts w:hint="eastAsia" w:ascii="仿宋" w:hAnsi="仿宋" w:eastAsia="仿宋" w:cs="仿宋"/>
                <w:b/>
                <w:bCs/>
                <w:sz w:val="22"/>
                <w:szCs w:val="21"/>
                <w:highlight w:val="none"/>
              </w:rPr>
              <w:fldChar w:fldCharType="begin"/>
            </w:r>
            <w:r>
              <w:rPr>
                <w:rFonts w:hint="eastAsia" w:ascii="仿宋" w:hAnsi="仿宋" w:eastAsia="仿宋" w:cs="仿宋"/>
                <w:b/>
                <w:bCs/>
                <w:sz w:val="22"/>
                <w:szCs w:val="21"/>
                <w:highlight w:val="none"/>
              </w:rPr>
              <w:instrText xml:space="preserve"> = 2 \* GB3 \* MERGEFORMAT </w:instrText>
            </w:r>
            <w:r>
              <w:rPr>
                <w:rFonts w:hint="eastAsia" w:ascii="仿宋" w:hAnsi="仿宋" w:eastAsia="仿宋" w:cs="仿宋"/>
                <w:b/>
                <w:bCs/>
                <w:sz w:val="22"/>
                <w:szCs w:val="21"/>
                <w:highlight w:val="none"/>
              </w:rPr>
              <w:fldChar w:fldCharType="separate"/>
            </w:r>
            <w:r>
              <w:rPr>
                <w:rFonts w:hint="eastAsia" w:ascii="仿宋" w:hAnsi="仿宋" w:eastAsia="仿宋" w:cs="仿宋"/>
                <w:b/>
                <w:bCs/>
                <w:sz w:val="22"/>
                <w:szCs w:val="21"/>
                <w:highlight w:val="none"/>
              </w:rPr>
              <w:t>②</w:t>
            </w:r>
            <w:r>
              <w:rPr>
                <w:rFonts w:hint="eastAsia" w:ascii="仿宋" w:hAnsi="仿宋" w:eastAsia="仿宋" w:cs="仿宋"/>
                <w:b/>
                <w:bCs/>
                <w:sz w:val="22"/>
                <w:szCs w:val="21"/>
                <w:highlight w:val="none"/>
              </w:rPr>
              <w:fldChar w:fldCharType="end"/>
            </w:r>
            <w:r>
              <w:rPr>
                <w:rFonts w:hint="eastAsia" w:ascii="仿宋" w:hAnsi="仿宋" w:eastAsia="仿宋" w:cs="仿宋"/>
                <w:b/>
                <w:bCs/>
                <w:sz w:val="22"/>
                <w:szCs w:val="21"/>
                <w:highlight w:val="none"/>
              </w:rPr>
              <w:t>本表中要求提供各类证明材料，均需加盖供应商单位公章，否则将不认可该项材料的有效性。③本项目不涉及节能、环境标志、无线局域网产品，故在综合评分明细表中不作体现。</w:t>
            </w:r>
          </w:p>
        </w:tc>
      </w:tr>
    </w:tbl>
    <w:p w14:paraId="6584BFA4">
      <w:pPr>
        <w:keepNext w:val="0"/>
        <w:keepLines w:val="0"/>
        <w:pageBreakBefore w:val="0"/>
        <w:kinsoku/>
        <w:wordWrap/>
        <w:overflowPunct/>
        <w:topLinePunct w:val="0"/>
        <w:bidi w:val="0"/>
        <w:spacing w:line="520" w:lineRule="exact"/>
        <w:textAlignment w:val="auto"/>
        <w:rPr>
          <w:rFonts w:ascii="仿宋" w:hAnsi="仿宋" w:eastAsia="仿宋"/>
          <w:highlight w:val="none"/>
        </w:rPr>
      </w:pPr>
    </w:p>
    <w:p w14:paraId="63AA0FF7">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2" w:firstLineChars="200"/>
        <w:textAlignment w:val="auto"/>
        <w:outlineLvl w:val="1"/>
        <w:rPr>
          <w:rFonts w:ascii="仿宋" w:hAnsi="仿宋" w:eastAsia="仿宋"/>
          <w:b/>
          <w:sz w:val="24"/>
          <w:highlight w:val="none"/>
        </w:rPr>
      </w:pPr>
      <w:r>
        <w:rPr>
          <w:rFonts w:hint="eastAsia" w:ascii="仿宋" w:hAnsi="仿宋" w:eastAsia="仿宋"/>
          <w:b/>
          <w:sz w:val="24"/>
          <w:highlight w:val="none"/>
        </w:rPr>
        <w:t>4.</w:t>
      </w:r>
      <w:r>
        <w:rPr>
          <w:rFonts w:hint="eastAsia" w:ascii="仿宋" w:hAnsi="仿宋" w:eastAsia="仿宋"/>
          <w:b/>
          <w:sz w:val="24"/>
          <w:highlight w:val="none"/>
          <w:lang w:eastAsia="zh-CN"/>
        </w:rPr>
        <w:t>磋商</w:t>
      </w:r>
      <w:r>
        <w:rPr>
          <w:rFonts w:hint="eastAsia" w:ascii="仿宋" w:hAnsi="仿宋" w:eastAsia="仿宋"/>
          <w:b/>
          <w:sz w:val="24"/>
          <w:highlight w:val="none"/>
        </w:rPr>
        <w:t>纪律及注意事项</w:t>
      </w:r>
    </w:p>
    <w:p w14:paraId="5698DECA">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4.1</w:t>
      </w:r>
      <w:r>
        <w:rPr>
          <w:rFonts w:hint="eastAsia" w:ascii="仿宋" w:hAnsi="仿宋" w:eastAsia="仿宋"/>
          <w:sz w:val="24"/>
          <w:highlight w:val="none"/>
          <w:lang w:eastAsia="zh-CN"/>
        </w:rPr>
        <w:t>磋商</w:t>
      </w:r>
      <w:r>
        <w:rPr>
          <w:rFonts w:hint="eastAsia" w:ascii="仿宋" w:hAnsi="仿宋" w:eastAsia="仿宋"/>
          <w:sz w:val="24"/>
          <w:highlight w:val="none"/>
        </w:rPr>
        <w:t>小组内部讨论的情况和意见必须保密，任何人不得以任何形式透露给供应商或与供应商有关的单位或个人。</w:t>
      </w:r>
    </w:p>
    <w:p w14:paraId="15A5DF39">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4.2在</w:t>
      </w:r>
      <w:r>
        <w:rPr>
          <w:rFonts w:hint="eastAsia" w:ascii="仿宋" w:hAnsi="仿宋" w:eastAsia="仿宋"/>
          <w:sz w:val="24"/>
          <w:highlight w:val="none"/>
          <w:lang w:eastAsia="zh-CN"/>
        </w:rPr>
        <w:t>磋商</w:t>
      </w:r>
      <w:r>
        <w:rPr>
          <w:rFonts w:hint="eastAsia" w:ascii="仿宋" w:hAnsi="仿宋" w:eastAsia="仿宋"/>
          <w:sz w:val="24"/>
          <w:highlight w:val="none"/>
        </w:rPr>
        <w:t>过程中，供应商不得以任何形式对</w:t>
      </w:r>
      <w:r>
        <w:rPr>
          <w:rFonts w:hint="eastAsia" w:ascii="仿宋" w:hAnsi="仿宋" w:eastAsia="仿宋"/>
          <w:sz w:val="24"/>
          <w:highlight w:val="none"/>
          <w:lang w:eastAsia="zh-CN"/>
        </w:rPr>
        <w:t>磋商</w:t>
      </w:r>
      <w:r>
        <w:rPr>
          <w:rFonts w:hint="eastAsia" w:ascii="仿宋" w:hAnsi="仿宋" w:eastAsia="仿宋"/>
          <w:sz w:val="24"/>
          <w:highlight w:val="none"/>
        </w:rPr>
        <w:t>小组成员进行私下接触，否则将取消其参与</w:t>
      </w:r>
      <w:r>
        <w:rPr>
          <w:rFonts w:hint="eastAsia" w:ascii="仿宋" w:hAnsi="仿宋" w:eastAsia="仿宋"/>
          <w:sz w:val="24"/>
          <w:highlight w:val="none"/>
          <w:lang w:eastAsia="zh-CN"/>
        </w:rPr>
        <w:t>磋商</w:t>
      </w:r>
      <w:r>
        <w:rPr>
          <w:rFonts w:hint="eastAsia" w:ascii="仿宋" w:hAnsi="仿宋" w:eastAsia="仿宋"/>
          <w:sz w:val="24"/>
          <w:highlight w:val="none"/>
        </w:rPr>
        <w:t>的资格。</w:t>
      </w:r>
    </w:p>
    <w:p w14:paraId="6A003ED1">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4.3对各供应商的商业秘密，</w:t>
      </w:r>
      <w:r>
        <w:rPr>
          <w:rFonts w:hint="eastAsia" w:ascii="仿宋" w:hAnsi="仿宋" w:eastAsia="仿宋"/>
          <w:sz w:val="24"/>
          <w:highlight w:val="none"/>
          <w:lang w:eastAsia="zh-CN"/>
        </w:rPr>
        <w:t>磋商</w:t>
      </w:r>
      <w:r>
        <w:rPr>
          <w:rFonts w:hint="eastAsia" w:ascii="仿宋" w:hAnsi="仿宋" w:eastAsia="仿宋"/>
          <w:sz w:val="24"/>
          <w:highlight w:val="none"/>
        </w:rPr>
        <w:t>小组成员应予以保密，不得泄露给其他供应商。</w:t>
      </w:r>
    </w:p>
    <w:p w14:paraId="4962DF9D">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highlight w:val="none"/>
        </w:rPr>
      </w:pPr>
      <w:r>
        <w:rPr>
          <w:rFonts w:hint="eastAsia" w:ascii="仿宋" w:hAnsi="仿宋" w:eastAsia="仿宋"/>
          <w:sz w:val="24"/>
          <w:highlight w:val="none"/>
        </w:rPr>
        <w:t xml:space="preserve">4.4 </w:t>
      </w:r>
      <w:r>
        <w:rPr>
          <w:rFonts w:hint="eastAsia" w:ascii="仿宋" w:hAnsi="仿宋" w:eastAsia="仿宋"/>
          <w:sz w:val="24"/>
          <w:highlight w:val="none"/>
          <w:lang w:eastAsia="zh-CN"/>
        </w:rPr>
        <w:t>磋商</w:t>
      </w:r>
      <w:r>
        <w:rPr>
          <w:rFonts w:hint="eastAsia" w:ascii="仿宋" w:hAnsi="仿宋" w:eastAsia="仿宋"/>
          <w:sz w:val="24"/>
          <w:highlight w:val="none"/>
        </w:rPr>
        <w:t>小组独立评判，推荐成交候选人，并写出书面报告。</w:t>
      </w:r>
    </w:p>
    <w:p w14:paraId="56183EA5">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b/>
          <w:sz w:val="24"/>
          <w:highlight w:val="none"/>
        </w:rPr>
      </w:pPr>
      <w:r>
        <w:rPr>
          <w:rFonts w:hint="eastAsia" w:ascii="仿宋" w:hAnsi="仿宋" w:eastAsia="仿宋"/>
          <w:b/>
          <w:sz w:val="24"/>
          <w:highlight w:val="none"/>
          <w:lang w:val="en-US" w:eastAsia="zh-CN"/>
        </w:rPr>
        <w:t>5.</w:t>
      </w:r>
      <w:r>
        <w:rPr>
          <w:rFonts w:hint="eastAsia" w:ascii="仿宋" w:hAnsi="仿宋" w:eastAsia="仿宋"/>
          <w:b/>
          <w:sz w:val="24"/>
          <w:highlight w:val="none"/>
        </w:rPr>
        <w:t xml:space="preserve">确定成交供应商 </w:t>
      </w:r>
    </w:p>
    <w:p w14:paraId="687EE418">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highlight w:val="none"/>
        </w:rPr>
      </w:pPr>
      <w:r>
        <w:rPr>
          <w:rFonts w:hint="eastAsia" w:ascii="仿宋" w:hAnsi="仿宋" w:eastAsia="仿宋"/>
          <w:sz w:val="24"/>
          <w:highlight w:val="none"/>
          <w:lang w:val="en-US" w:eastAsia="zh-CN"/>
        </w:rPr>
        <w:t>5.1</w:t>
      </w:r>
      <w:r>
        <w:rPr>
          <w:rFonts w:hint="eastAsia" w:ascii="仿宋" w:hAnsi="仿宋" w:eastAsia="仿宋"/>
          <w:sz w:val="24"/>
          <w:highlight w:val="none"/>
        </w:rPr>
        <w:t xml:space="preserve">评审结束后，代理机构在评审结束之日起2个工作日内将磋商报告及有关资料送交采购人。 </w:t>
      </w:r>
    </w:p>
    <w:p w14:paraId="7FEC1A86">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highlight w:val="none"/>
        </w:rPr>
      </w:pPr>
      <w:r>
        <w:rPr>
          <w:rFonts w:hint="eastAsia" w:ascii="仿宋" w:hAnsi="仿宋" w:eastAsia="仿宋"/>
          <w:sz w:val="24"/>
          <w:highlight w:val="none"/>
          <w:lang w:val="en-US" w:eastAsia="zh-CN"/>
        </w:rPr>
        <w:t>5.2</w:t>
      </w:r>
      <w:r>
        <w:rPr>
          <w:rFonts w:hint="eastAsia" w:ascii="仿宋" w:hAnsi="仿宋" w:eastAsia="仿宋"/>
          <w:sz w:val="24"/>
          <w:highlight w:val="none"/>
        </w:rPr>
        <w:t>采购人在收到磋商报告后5个工作日内，在磋商报告确定的成交候选供应商名单中按顺序确定成交供应商。成交候选供应商并列的，由采购人采取随机抽取的方式确定成交供应商。采购人逾期未确定成交供应商且不提出异议的，视为确定磋商报告提出的排序第一的供应商为成交供应商。</w:t>
      </w:r>
    </w:p>
    <w:p w14:paraId="2A60DE8A">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highlight w:val="none"/>
        </w:rPr>
      </w:pPr>
      <w:r>
        <w:rPr>
          <w:rFonts w:hint="eastAsia" w:ascii="仿宋" w:hAnsi="仿宋" w:eastAsia="仿宋"/>
          <w:sz w:val="24"/>
          <w:highlight w:val="none"/>
          <w:lang w:val="en-US" w:eastAsia="zh-CN"/>
        </w:rPr>
        <w:t>5.3</w:t>
      </w:r>
      <w:r>
        <w:rPr>
          <w:rFonts w:hint="eastAsia" w:ascii="仿宋" w:hAnsi="仿宋" w:eastAsia="仿宋"/>
          <w:sz w:val="24"/>
          <w:highlight w:val="none"/>
        </w:rPr>
        <w:t>根据采购人确定的成交供应商，代理机构发布成交结果公告</w:t>
      </w:r>
      <w:r>
        <w:rPr>
          <w:rFonts w:hint="eastAsia" w:ascii="仿宋" w:hAnsi="仿宋" w:eastAsia="仿宋"/>
          <w:sz w:val="24"/>
          <w:highlight w:val="none"/>
          <w:lang w:eastAsia="zh-CN"/>
        </w:rPr>
        <w:t>后</w:t>
      </w:r>
      <w:r>
        <w:rPr>
          <w:rFonts w:hint="eastAsia" w:ascii="仿宋" w:hAnsi="仿宋" w:eastAsia="仿宋"/>
          <w:sz w:val="24"/>
          <w:highlight w:val="none"/>
        </w:rPr>
        <w:t>，同时向成交供应商发出成交通知书。</w:t>
      </w:r>
    </w:p>
    <w:p w14:paraId="7416CF2E">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highlight w:val="none"/>
        </w:rPr>
      </w:pPr>
      <w:r>
        <w:rPr>
          <w:rFonts w:hint="eastAsia" w:ascii="仿宋" w:hAnsi="仿宋" w:eastAsia="仿宋"/>
          <w:sz w:val="24"/>
          <w:highlight w:val="none"/>
          <w:lang w:val="en-US" w:eastAsia="zh-CN"/>
        </w:rPr>
        <w:t>5.4</w:t>
      </w:r>
      <w:r>
        <w:rPr>
          <w:rFonts w:hint="eastAsia" w:ascii="仿宋" w:hAnsi="仿宋" w:eastAsia="仿宋"/>
          <w:sz w:val="24"/>
          <w:highlight w:val="none"/>
        </w:rPr>
        <w:t xml:space="preserve">采购人、代理机构不解释成交或未成交原因，不退回响应文件和其他响应资料。 </w:t>
      </w:r>
    </w:p>
    <w:p w14:paraId="593284AE">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outlineLvl w:val="1"/>
        <w:rPr>
          <w:rFonts w:ascii="仿宋" w:hAnsi="仿宋" w:eastAsia="仿宋"/>
          <w:b/>
          <w:sz w:val="24"/>
          <w:highlight w:val="none"/>
        </w:rPr>
      </w:pP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b/>
          <w:sz w:val="24"/>
          <w:highlight w:val="none"/>
          <w:lang w:eastAsia="zh-CN"/>
        </w:rPr>
        <w:t>磋商</w:t>
      </w:r>
      <w:r>
        <w:rPr>
          <w:rFonts w:hint="eastAsia" w:ascii="仿宋" w:hAnsi="仿宋" w:eastAsia="仿宋"/>
          <w:b/>
          <w:sz w:val="24"/>
          <w:highlight w:val="none"/>
        </w:rPr>
        <w:t>小组在采购活动中承担以下义务：</w:t>
      </w:r>
    </w:p>
    <w:p w14:paraId="7CCFCDCF">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1</w:t>
      </w:r>
      <w:r>
        <w:rPr>
          <w:rFonts w:hint="eastAsia" w:ascii="仿宋" w:hAnsi="仿宋" w:eastAsia="仿宋"/>
          <w:sz w:val="24"/>
          <w:highlight w:val="none"/>
        </w:rPr>
        <w:t>）遵守评审工作纪律；</w:t>
      </w:r>
    </w:p>
    <w:p w14:paraId="0FAE6B0B">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2</w:t>
      </w:r>
      <w:r>
        <w:rPr>
          <w:rFonts w:hint="eastAsia" w:ascii="仿宋" w:hAnsi="仿宋" w:eastAsia="仿宋"/>
          <w:sz w:val="24"/>
          <w:highlight w:val="none"/>
        </w:rPr>
        <w:t>）按照客观、公正、审慎的原则，根据</w:t>
      </w:r>
      <w:r>
        <w:rPr>
          <w:rFonts w:hint="eastAsia" w:ascii="仿宋" w:hAnsi="仿宋" w:eastAsia="仿宋"/>
          <w:sz w:val="24"/>
          <w:highlight w:val="none"/>
          <w:lang w:eastAsia="zh-CN"/>
        </w:rPr>
        <w:t>磋商</w:t>
      </w:r>
      <w:r>
        <w:rPr>
          <w:rFonts w:hint="eastAsia" w:ascii="仿宋" w:hAnsi="仿宋" w:eastAsia="仿宋"/>
          <w:sz w:val="24"/>
          <w:highlight w:val="none"/>
        </w:rPr>
        <w:t>文件规定的评审程序、评审方法和评审标准进行独立评审；</w:t>
      </w:r>
    </w:p>
    <w:p w14:paraId="192C7634">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3</w:t>
      </w:r>
      <w:r>
        <w:rPr>
          <w:rFonts w:hint="eastAsia" w:ascii="仿宋" w:hAnsi="仿宋" w:eastAsia="仿宋"/>
          <w:sz w:val="24"/>
          <w:highlight w:val="none"/>
        </w:rPr>
        <w:t>）不得泄露评审文件、评审情况和在评审过程中获悉的商业秘密；</w:t>
      </w:r>
    </w:p>
    <w:p w14:paraId="163F9B0C">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4</w:t>
      </w:r>
      <w:r>
        <w:rPr>
          <w:rFonts w:hint="eastAsia" w:ascii="仿宋" w:hAnsi="仿宋" w:eastAsia="仿宋"/>
          <w:sz w:val="24"/>
          <w:highlight w:val="none"/>
        </w:rPr>
        <w:t>）及时报告评审过程中发现的采购人、采购代理机构向评审专家做倾向性、误导性的解释或者说明，以及供应商行贿、提供虚假材料或者串通等违法行为；</w:t>
      </w:r>
    </w:p>
    <w:p w14:paraId="4ADAE36E">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5</w:t>
      </w:r>
      <w:r>
        <w:rPr>
          <w:rFonts w:hint="eastAsia" w:ascii="仿宋" w:hAnsi="仿宋" w:eastAsia="仿宋"/>
          <w:sz w:val="24"/>
          <w:highlight w:val="none"/>
        </w:rPr>
        <w:t>）发现</w:t>
      </w:r>
      <w:r>
        <w:rPr>
          <w:rFonts w:hint="eastAsia" w:ascii="仿宋" w:hAnsi="仿宋" w:eastAsia="仿宋"/>
          <w:sz w:val="24"/>
          <w:highlight w:val="none"/>
          <w:lang w:eastAsia="zh-CN"/>
        </w:rPr>
        <w:t>磋商</w:t>
      </w:r>
      <w:r>
        <w:rPr>
          <w:rFonts w:hint="eastAsia" w:ascii="仿宋" w:hAnsi="仿宋" w:eastAsia="仿宋"/>
          <w:sz w:val="24"/>
          <w:highlight w:val="none"/>
        </w:rPr>
        <w:t>文件内容违反国家有关强制性规定或者</w:t>
      </w:r>
      <w:r>
        <w:rPr>
          <w:rFonts w:hint="eastAsia" w:ascii="仿宋" w:hAnsi="仿宋" w:eastAsia="仿宋"/>
          <w:sz w:val="24"/>
          <w:highlight w:val="none"/>
          <w:lang w:eastAsia="zh-CN"/>
        </w:rPr>
        <w:t>磋商</w:t>
      </w:r>
      <w:r>
        <w:rPr>
          <w:rFonts w:hint="eastAsia" w:ascii="仿宋" w:hAnsi="仿宋" w:eastAsia="仿宋"/>
          <w:sz w:val="24"/>
          <w:highlight w:val="none"/>
        </w:rPr>
        <w:t>文件存在歧义、重大缺陷导致评审工作无法进行时，停止评审并向采购人或者采购代理机构书面说明情况；</w:t>
      </w:r>
    </w:p>
    <w:p w14:paraId="5E6488E0">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6</w:t>
      </w:r>
      <w:r>
        <w:rPr>
          <w:rFonts w:hint="eastAsia" w:ascii="仿宋" w:hAnsi="仿宋" w:eastAsia="仿宋"/>
          <w:sz w:val="24"/>
          <w:highlight w:val="none"/>
        </w:rPr>
        <w:t>）及时向监察等部门举报在评审过程中受到非法干预的情况；</w:t>
      </w:r>
    </w:p>
    <w:p w14:paraId="499A2946">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7</w:t>
      </w:r>
      <w:r>
        <w:rPr>
          <w:rFonts w:hint="eastAsia" w:ascii="仿宋" w:hAnsi="仿宋" w:eastAsia="仿宋"/>
          <w:sz w:val="24"/>
          <w:highlight w:val="none"/>
        </w:rPr>
        <w:t>）配合答复处理供应商的询问、质疑和投诉等事项；</w:t>
      </w:r>
    </w:p>
    <w:p w14:paraId="4D6DB44F">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8</w:t>
      </w:r>
      <w:r>
        <w:rPr>
          <w:rFonts w:hint="eastAsia" w:ascii="仿宋" w:hAnsi="仿宋" w:eastAsia="仿宋"/>
          <w:sz w:val="24"/>
          <w:highlight w:val="none"/>
        </w:rPr>
        <w:t>）法律、法规和规章规定的其他义务。</w:t>
      </w:r>
    </w:p>
    <w:p w14:paraId="35E4FBAA">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2" w:firstLineChars="200"/>
        <w:textAlignment w:val="auto"/>
        <w:outlineLvl w:val="1"/>
        <w:rPr>
          <w:rFonts w:ascii="仿宋" w:hAnsi="仿宋" w:eastAsia="仿宋"/>
          <w:b/>
          <w:sz w:val="24"/>
          <w:highlight w:val="none"/>
        </w:rPr>
      </w:pPr>
      <w:r>
        <w:rPr>
          <w:rFonts w:hint="eastAsia" w:ascii="仿宋" w:hAnsi="仿宋" w:eastAsia="仿宋"/>
          <w:b/>
          <w:sz w:val="24"/>
          <w:highlight w:val="none"/>
          <w:lang w:val="en-US" w:eastAsia="zh-CN"/>
        </w:rPr>
        <w:t>7</w:t>
      </w:r>
      <w:r>
        <w:rPr>
          <w:rFonts w:hint="eastAsia" w:ascii="仿宋" w:hAnsi="仿宋" w:eastAsia="仿宋"/>
          <w:b/>
          <w:sz w:val="24"/>
          <w:highlight w:val="none"/>
        </w:rPr>
        <w:t>.评审专家在采购活动中应当遵守以下工作纪律：</w:t>
      </w:r>
    </w:p>
    <w:p w14:paraId="3B7241A6">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1</w:t>
      </w:r>
      <w:r>
        <w:rPr>
          <w:rFonts w:hint="eastAsia" w:ascii="仿宋" w:hAnsi="仿宋" w:eastAsia="仿宋"/>
          <w:sz w:val="24"/>
          <w:highlight w:val="none"/>
        </w:rPr>
        <w:t>）评审前，应当将通讯工具或者相关电子设备交由采购代理机构统一保管；</w:t>
      </w:r>
    </w:p>
    <w:p w14:paraId="51300771">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2</w:t>
      </w:r>
      <w:r>
        <w:rPr>
          <w:rFonts w:hint="eastAsia" w:ascii="仿宋" w:hAnsi="仿宋" w:eastAsia="仿宋"/>
          <w:sz w:val="24"/>
          <w:highlight w:val="none"/>
        </w:rPr>
        <w:t>）评审过程中，不得与外界联系，因发生不可预见情况，确实需要与外界联系的，应当在监督人员监督之下办理；</w:t>
      </w:r>
    </w:p>
    <w:p w14:paraId="071EDE89">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3</w:t>
      </w:r>
      <w:r>
        <w:rPr>
          <w:rFonts w:hint="eastAsia" w:ascii="仿宋" w:hAnsi="仿宋" w:eastAsia="仿宋"/>
          <w:sz w:val="24"/>
          <w:highlight w:val="none"/>
        </w:rPr>
        <w:t>）评审过程中，不得发表影响评审公正的倾向性、歧视性言论，不得征询或者接受采购人的倾向性意见，不得明示或暗示供应商在澄清时表达与其响应文件原义不同的意见，不得以</w:t>
      </w:r>
      <w:r>
        <w:rPr>
          <w:rFonts w:hint="eastAsia" w:ascii="仿宋" w:hAnsi="仿宋" w:eastAsia="仿宋"/>
          <w:sz w:val="24"/>
          <w:highlight w:val="none"/>
          <w:lang w:eastAsia="zh-CN"/>
        </w:rPr>
        <w:t>磋商</w:t>
      </w:r>
      <w:r>
        <w:rPr>
          <w:rFonts w:hint="eastAsia" w:ascii="仿宋" w:hAnsi="仿宋" w:eastAsia="仿宋"/>
          <w:sz w:val="24"/>
          <w:highlight w:val="none"/>
        </w:rPr>
        <w:t>文件没有规定的评审方法和标准作为评审的依据，不得修改或者细化评审程序、评审方法、</w:t>
      </w:r>
      <w:r>
        <w:rPr>
          <w:rFonts w:hint="eastAsia" w:ascii="仿宋" w:hAnsi="仿宋" w:eastAsia="仿宋"/>
          <w:sz w:val="24"/>
          <w:highlight w:val="none"/>
          <w:lang w:eastAsia="zh-CN"/>
        </w:rPr>
        <w:t>评分因素</w:t>
      </w:r>
      <w:r>
        <w:rPr>
          <w:rFonts w:hint="eastAsia" w:ascii="仿宋" w:hAnsi="仿宋" w:eastAsia="仿宋"/>
          <w:sz w:val="24"/>
          <w:highlight w:val="none"/>
        </w:rPr>
        <w:t>和评审标准，不得违规撰写评审意见，不得拒绝对自己的评审意见签字确认；</w:t>
      </w:r>
    </w:p>
    <w:p w14:paraId="0615ABE5">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4</w:t>
      </w:r>
      <w:r>
        <w:rPr>
          <w:rFonts w:hint="eastAsia" w:ascii="仿宋" w:hAnsi="仿宋" w:eastAsia="仿宋"/>
          <w:sz w:val="24"/>
          <w:highlight w:val="none"/>
        </w:rPr>
        <w:t>）在评审过程中和评审结束后，不得记录、复制或带走任何评审资料，不得向外界透露评审内容；</w:t>
      </w:r>
    </w:p>
    <w:p w14:paraId="714934E7">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5</w:t>
      </w:r>
      <w:r>
        <w:rPr>
          <w:rFonts w:hint="eastAsia" w:ascii="仿宋" w:hAnsi="仿宋" w:eastAsia="仿宋"/>
          <w:sz w:val="24"/>
          <w:highlight w:val="none"/>
        </w:rPr>
        <w:t>）评审现场服从采购代理机构工作人员的管理，接受现场监督人员的合法监督；</w:t>
      </w:r>
    </w:p>
    <w:p w14:paraId="55CF8E51">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6</w:t>
      </w:r>
      <w:r>
        <w:rPr>
          <w:rFonts w:hint="eastAsia" w:ascii="仿宋" w:hAnsi="仿宋" w:eastAsia="仿宋"/>
          <w:sz w:val="24"/>
          <w:highlight w:val="none"/>
        </w:rPr>
        <w:t>）遵守有关廉洁自律规定，不得私下接触供应商，不得收受供应商及有关业务单位和个人的财物或好处，不得接受采购代理机构的请托。</w:t>
      </w:r>
    </w:p>
    <w:p w14:paraId="0A45AACC">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highlight w:val="none"/>
        </w:rPr>
      </w:pPr>
      <w:r>
        <w:rPr>
          <w:rFonts w:hint="eastAsia" w:ascii="仿宋" w:hAnsi="仿宋" w:eastAsia="仿宋"/>
          <w:sz w:val="24"/>
          <w:highlight w:val="none"/>
          <w:lang w:eastAsia="zh-CN"/>
        </w:rPr>
        <w:t>（</w:t>
      </w:r>
      <w:r>
        <w:rPr>
          <w:rFonts w:hint="eastAsia" w:ascii="仿宋" w:hAnsi="仿宋" w:eastAsia="仿宋"/>
          <w:sz w:val="24"/>
          <w:highlight w:val="none"/>
          <w:lang w:val="en-US" w:eastAsia="zh-CN"/>
        </w:rPr>
        <w:t>7</w:t>
      </w:r>
      <w:r>
        <w:rPr>
          <w:rFonts w:hint="eastAsia" w:ascii="仿宋" w:hAnsi="仿宋" w:eastAsia="仿宋"/>
          <w:sz w:val="24"/>
          <w:highlight w:val="none"/>
          <w:lang w:eastAsia="zh-CN"/>
        </w:rPr>
        <w:t>）有关</w:t>
      </w:r>
      <w:r>
        <w:rPr>
          <w:rFonts w:hint="eastAsia" w:ascii="仿宋" w:hAnsi="仿宋" w:eastAsia="仿宋"/>
          <w:sz w:val="24"/>
          <w:highlight w:val="none"/>
          <w:lang w:val="en-US" w:eastAsia="zh-CN"/>
        </w:rPr>
        <w:t>主管</w:t>
      </w:r>
      <w:r>
        <w:rPr>
          <w:rFonts w:hint="eastAsia" w:ascii="仿宋" w:hAnsi="仿宋" w:eastAsia="仿宋"/>
          <w:sz w:val="24"/>
          <w:highlight w:val="none"/>
          <w:lang w:eastAsia="zh-CN"/>
        </w:rPr>
        <w:t>部门（机构）制定的其他评审工作纪律。</w:t>
      </w:r>
    </w:p>
    <w:p w14:paraId="16B22844">
      <w:pPr>
        <w:pStyle w:val="2"/>
        <w:spacing w:before="0" w:after="0" w:line="240" w:lineRule="auto"/>
        <w:jc w:val="center"/>
        <w:rPr>
          <w:rFonts w:ascii="仿宋" w:hAnsi="仿宋" w:eastAsia="仿宋"/>
          <w:bCs/>
          <w:color w:val="000000"/>
          <w:sz w:val="36"/>
          <w:szCs w:val="36"/>
          <w:highlight w:val="none"/>
        </w:rPr>
      </w:pPr>
      <w:r>
        <w:rPr>
          <w:rFonts w:hint="eastAsia" w:ascii="仿宋" w:hAnsi="仿宋" w:eastAsia="仿宋"/>
          <w:sz w:val="24"/>
          <w:highlight w:val="none"/>
        </w:rPr>
        <w:br w:type="page"/>
      </w:r>
      <w:bookmarkStart w:id="90" w:name="_Toc16524"/>
      <w:r>
        <w:rPr>
          <w:rFonts w:hint="eastAsia" w:ascii="仿宋" w:hAnsi="仿宋" w:eastAsia="仿宋"/>
          <w:b/>
          <w:bCs w:val="0"/>
          <w:color w:val="000000"/>
          <w:sz w:val="36"/>
          <w:szCs w:val="36"/>
          <w:highlight w:val="none"/>
        </w:rPr>
        <w:t>第</w:t>
      </w:r>
      <w:r>
        <w:rPr>
          <w:rFonts w:hint="eastAsia" w:ascii="仿宋" w:hAnsi="仿宋" w:eastAsia="仿宋"/>
          <w:b/>
          <w:bCs w:val="0"/>
          <w:color w:val="000000"/>
          <w:sz w:val="36"/>
          <w:szCs w:val="36"/>
          <w:highlight w:val="none"/>
          <w:lang w:eastAsia="zh-CN"/>
        </w:rPr>
        <w:t>八</w:t>
      </w:r>
      <w:r>
        <w:rPr>
          <w:rFonts w:hint="eastAsia" w:ascii="仿宋" w:hAnsi="仿宋" w:eastAsia="仿宋"/>
          <w:b/>
          <w:bCs w:val="0"/>
          <w:color w:val="000000"/>
          <w:sz w:val="36"/>
          <w:szCs w:val="36"/>
          <w:highlight w:val="none"/>
        </w:rPr>
        <w:t>章 采购合同（草案）</w:t>
      </w:r>
      <w:bookmarkEnd w:id="88"/>
      <w:bookmarkEnd w:id="90"/>
    </w:p>
    <w:p w14:paraId="3D783CB1">
      <w:pPr>
        <w:spacing w:line="480" w:lineRule="exact"/>
        <w:rPr>
          <w:rFonts w:ascii="仿宋" w:hAnsi="仿宋" w:eastAsia="仿宋"/>
          <w:sz w:val="28"/>
          <w:highlight w:val="none"/>
        </w:rPr>
      </w:pPr>
    </w:p>
    <w:p w14:paraId="3D2464FF">
      <w:pPr>
        <w:tabs>
          <w:tab w:val="left" w:pos="0"/>
        </w:tabs>
        <w:adjustRightInd w:val="0"/>
        <w:snapToGrid w:val="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成都市技师学院（成都工贸职业技术学院）</w:t>
      </w:r>
    </w:p>
    <w:p w14:paraId="46725BD5">
      <w:pPr>
        <w:tabs>
          <w:tab w:val="left" w:pos="0"/>
        </w:tabs>
        <w:adjustRightInd w:val="0"/>
        <w:snapToGrid w:val="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2025年电气教学实训耗材采购项目</w:t>
      </w:r>
    </w:p>
    <w:p w14:paraId="18847F1B">
      <w:pPr>
        <w:tabs>
          <w:tab w:val="left" w:pos="0"/>
        </w:tabs>
        <w:adjustRightInd w:val="0"/>
        <w:snapToGrid w:val="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合同文本主要条款</w:t>
      </w:r>
    </w:p>
    <w:p w14:paraId="3566998B">
      <w:pPr>
        <w:pStyle w:val="63"/>
        <w:wordWrap/>
        <w:adjustRightInd w:val="0"/>
        <w:snapToGrid w:val="0"/>
        <w:spacing w:line="360" w:lineRule="auto"/>
        <w:ind w:firstLine="480" w:firstLineChars="200"/>
        <w:rPr>
          <w:rFonts w:hint="eastAsia" w:ascii="仿宋" w:hAnsi="仿宋" w:eastAsia="仿宋" w:cs="仿宋"/>
          <w:snapToGrid/>
          <w:color w:val="auto"/>
          <w:sz w:val="24"/>
          <w:szCs w:val="24"/>
          <w:highlight w:val="none"/>
        </w:rPr>
      </w:pPr>
    </w:p>
    <w:p w14:paraId="4FD219DF">
      <w:pPr>
        <w:pStyle w:val="63"/>
        <w:wordWrap/>
        <w:adjustRightInd w:val="0"/>
        <w:snapToGrid w:val="0"/>
        <w:spacing w:line="360" w:lineRule="auto"/>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合同编号：</w:t>
      </w:r>
    </w:p>
    <w:p w14:paraId="34951793">
      <w:pPr>
        <w:pStyle w:val="63"/>
        <w:wordWrap/>
        <w:adjustRightInd w:val="0"/>
        <w:snapToGrid w:val="0"/>
        <w:spacing w:line="360" w:lineRule="auto"/>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签订地点：</w:t>
      </w:r>
    </w:p>
    <w:p w14:paraId="707A8C1E">
      <w:pPr>
        <w:pStyle w:val="63"/>
        <w:wordWrap/>
        <w:adjustRightInd w:val="0"/>
        <w:snapToGrid w:val="0"/>
        <w:spacing w:line="360" w:lineRule="auto"/>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签订时间：</w:t>
      </w:r>
    </w:p>
    <w:p w14:paraId="558056ED">
      <w:pPr>
        <w:pStyle w:val="63"/>
        <w:wordWrap/>
        <w:adjustRightInd w:val="0"/>
        <w:snapToGrid w:val="0"/>
        <w:spacing w:line="360" w:lineRule="auto"/>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甲方(采购人)：成都市技师学院（成都工贸职业技术学院）</w:t>
      </w:r>
    </w:p>
    <w:p w14:paraId="39784D0C">
      <w:pPr>
        <w:pStyle w:val="63"/>
        <w:wordWrap/>
        <w:adjustRightInd w:val="0"/>
        <w:snapToGrid w:val="0"/>
        <w:spacing w:line="360" w:lineRule="auto"/>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 xml:space="preserve">乙方(供应商)：    </w:t>
      </w:r>
    </w:p>
    <w:p w14:paraId="51EF925E">
      <w:pPr>
        <w:tabs>
          <w:tab w:val="left" w:pos="0"/>
        </w:tabs>
        <w:adjustRightInd w:val="0"/>
        <w:snapToGrid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根据《中华人民共和国民法典》及</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成都市技师学院（成都工贸职业技术学院）2025年电气教学实训耗材采购项目</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（项目编号：XXX）的</w:t>
      </w:r>
      <w:r>
        <w:rPr>
          <w:rFonts w:hint="eastAsia" w:ascii="仿宋" w:hAnsi="仿宋" w:eastAsia="仿宋" w:cs="仿宋"/>
          <w:b w:val="0"/>
          <w:bCs w:val="0"/>
          <w:color w:val="auto"/>
          <w:sz w:val="24"/>
          <w:szCs w:val="24"/>
          <w:highlight w:val="none"/>
          <w:lang w:val="en-US" w:eastAsia="zh-CN"/>
        </w:rPr>
        <w:t>采购文件</w:t>
      </w:r>
      <w:r>
        <w:rPr>
          <w:rFonts w:hint="eastAsia" w:ascii="仿宋" w:hAnsi="仿宋" w:eastAsia="仿宋" w:cs="仿宋"/>
          <w:b w:val="0"/>
          <w:bCs w:val="0"/>
          <w:color w:val="auto"/>
          <w:sz w:val="24"/>
          <w:szCs w:val="24"/>
          <w:highlight w:val="none"/>
        </w:rPr>
        <w:t>、乙方的响应文件及成交通知书，甲、乙双方同意签订本合同，共同遵守如下条款：</w:t>
      </w:r>
    </w:p>
    <w:p w14:paraId="08B83015">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14:paraId="1659D53F">
      <w:pPr>
        <w:tabs>
          <w:tab w:val="left" w:pos="0"/>
        </w:tabs>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拟通过本项目的建设满足成都市技师学院（成都工贸职业技术学院）</w:t>
      </w:r>
      <w:r>
        <w:rPr>
          <w:rFonts w:hint="eastAsia" w:ascii="仿宋" w:hAnsi="仿宋" w:eastAsia="仿宋" w:cs="仿宋"/>
          <w:bCs/>
          <w:color w:val="auto"/>
          <w:sz w:val="24"/>
          <w:szCs w:val="24"/>
          <w:highlight w:val="none"/>
          <w:lang w:val="en-US" w:eastAsia="zh-CN"/>
        </w:rPr>
        <w:t>2025年电气工程学院实训教学的正常开展</w:t>
      </w:r>
      <w:r>
        <w:rPr>
          <w:rFonts w:hint="eastAsia" w:ascii="仿宋" w:hAnsi="仿宋" w:eastAsia="仿宋" w:cs="仿宋"/>
          <w:bCs/>
          <w:color w:val="auto"/>
          <w:sz w:val="24"/>
          <w:szCs w:val="24"/>
          <w:highlight w:val="none"/>
        </w:rPr>
        <w:t>的需要。</w:t>
      </w:r>
    </w:p>
    <w:p w14:paraId="785E3EAE">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、合同标的明细</w:t>
      </w:r>
    </w:p>
    <w:tbl>
      <w:tblPr>
        <w:tblStyle w:val="25"/>
        <w:tblW w:w="7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5"/>
        <w:gridCol w:w="780"/>
        <w:gridCol w:w="1065"/>
        <w:gridCol w:w="735"/>
        <w:gridCol w:w="765"/>
        <w:gridCol w:w="1454"/>
        <w:gridCol w:w="1364"/>
      </w:tblGrid>
      <w:tr w14:paraId="5F412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77AA151F">
            <w:pPr>
              <w:tabs>
                <w:tab w:val="left" w:pos="0"/>
              </w:tabs>
              <w:adjustRightInd w:val="0"/>
              <w:snapToGrid w:val="0"/>
              <w:spacing w:line="320" w:lineRule="exact"/>
              <w:ind w:firstLine="210" w:firstLineChars="100"/>
              <w:jc w:val="left"/>
              <w:rPr>
                <w:rFonts w:ascii="仿宋" w:hAnsi="仿宋" w:eastAsia="仿宋" w:cs="仿宋"/>
                <w:sz w:val="21"/>
                <w:szCs w:val="21"/>
              </w:rPr>
            </w:pPr>
            <w:r>
              <w:rPr>
                <w:rFonts w:hint="eastAsia" w:ascii="仿宋" w:hAnsi="仿宋" w:eastAsia="仿宋" w:cs="仿宋"/>
                <w:sz w:val="21"/>
                <w:szCs w:val="21"/>
              </w:rPr>
              <w:t>货物名称</w:t>
            </w:r>
          </w:p>
        </w:tc>
        <w:tc>
          <w:tcPr>
            <w:tcW w:w="780" w:type="dxa"/>
            <w:tcBorders>
              <w:top w:val="single" w:color="auto" w:sz="4" w:space="0"/>
              <w:left w:val="single" w:color="auto" w:sz="4" w:space="0"/>
              <w:bottom w:val="single" w:color="auto" w:sz="4" w:space="0"/>
              <w:right w:val="single" w:color="auto" w:sz="4" w:space="0"/>
            </w:tcBorders>
            <w:vAlign w:val="center"/>
          </w:tcPr>
          <w:p w14:paraId="383EED2C">
            <w:pPr>
              <w:tabs>
                <w:tab w:val="left" w:pos="0"/>
              </w:tabs>
              <w:adjustRightInd w:val="0"/>
              <w:snapToGrid w:val="0"/>
              <w:spacing w:line="320" w:lineRule="exact"/>
              <w:ind w:firstLine="0" w:firstLineChars="0"/>
              <w:jc w:val="left"/>
              <w:rPr>
                <w:rFonts w:ascii="仿宋" w:hAnsi="仿宋" w:eastAsia="仿宋" w:cs="仿宋"/>
                <w:sz w:val="21"/>
                <w:szCs w:val="21"/>
              </w:rPr>
            </w:pPr>
            <w:r>
              <w:rPr>
                <w:rFonts w:hint="eastAsia" w:ascii="仿宋" w:hAnsi="仿宋" w:eastAsia="仿宋" w:cs="仿宋"/>
                <w:sz w:val="21"/>
                <w:szCs w:val="21"/>
              </w:rPr>
              <w:t>品牌</w:t>
            </w:r>
          </w:p>
        </w:tc>
        <w:tc>
          <w:tcPr>
            <w:tcW w:w="1065" w:type="dxa"/>
            <w:tcBorders>
              <w:top w:val="single" w:color="auto" w:sz="4" w:space="0"/>
              <w:left w:val="single" w:color="auto" w:sz="4" w:space="0"/>
              <w:bottom w:val="single" w:color="auto" w:sz="4" w:space="0"/>
              <w:right w:val="single" w:color="auto" w:sz="4" w:space="0"/>
            </w:tcBorders>
            <w:vAlign w:val="center"/>
          </w:tcPr>
          <w:p w14:paraId="576A1C45">
            <w:pPr>
              <w:tabs>
                <w:tab w:val="left" w:pos="0"/>
              </w:tabs>
              <w:adjustRightInd w:val="0"/>
              <w:snapToGrid w:val="0"/>
              <w:spacing w:line="320" w:lineRule="exact"/>
              <w:ind w:firstLine="0" w:firstLineChars="0"/>
              <w:jc w:val="left"/>
              <w:rPr>
                <w:rFonts w:ascii="仿宋" w:hAnsi="仿宋" w:eastAsia="仿宋" w:cs="仿宋"/>
                <w:sz w:val="21"/>
                <w:szCs w:val="21"/>
              </w:rPr>
            </w:pPr>
            <w:r>
              <w:rPr>
                <w:rFonts w:hint="eastAsia" w:ascii="仿宋" w:hAnsi="仿宋" w:eastAsia="仿宋" w:cs="仿宋"/>
                <w:sz w:val="21"/>
                <w:szCs w:val="21"/>
              </w:rPr>
              <w:t>规格型号</w:t>
            </w:r>
          </w:p>
        </w:tc>
        <w:tc>
          <w:tcPr>
            <w:tcW w:w="735" w:type="dxa"/>
            <w:tcBorders>
              <w:top w:val="single" w:color="auto" w:sz="4" w:space="0"/>
              <w:left w:val="single" w:color="auto" w:sz="4" w:space="0"/>
              <w:bottom w:val="single" w:color="auto" w:sz="4" w:space="0"/>
              <w:right w:val="single" w:color="auto" w:sz="4" w:space="0"/>
            </w:tcBorders>
            <w:vAlign w:val="center"/>
          </w:tcPr>
          <w:p w14:paraId="7F57F40A">
            <w:pPr>
              <w:tabs>
                <w:tab w:val="left" w:pos="0"/>
              </w:tabs>
              <w:adjustRightInd w:val="0"/>
              <w:snapToGrid w:val="0"/>
              <w:spacing w:line="320" w:lineRule="exact"/>
              <w:ind w:firstLine="0" w:firstLineChars="0"/>
              <w:jc w:val="left"/>
              <w:rPr>
                <w:rFonts w:ascii="仿宋" w:hAnsi="仿宋" w:eastAsia="仿宋" w:cs="仿宋"/>
                <w:sz w:val="21"/>
                <w:szCs w:val="21"/>
              </w:rPr>
            </w:pPr>
            <w:r>
              <w:rPr>
                <w:rFonts w:hint="eastAsia" w:ascii="仿宋" w:hAnsi="仿宋" w:eastAsia="仿宋" w:cs="仿宋"/>
                <w:sz w:val="21"/>
                <w:szCs w:val="21"/>
              </w:rPr>
              <w:t>单位</w:t>
            </w:r>
          </w:p>
        </w:tc>
        <w:tc>
          <w:tcPr>
            <w:tcW w:w="765" w:type="dxa"/>
            <w:tcBorders>
              <w:top w:val="single" w:color="auto" w:sz="4" w:space="0"/>
              <w:left w:val="single" w:color="auto" w:sz="4" w:space="0"/>
              <w:bottom w:val="single" w:color="auto" w:sz="4" w:space="0"/>
              <w:right w:val="single" w:color="auto" w:sz="4" w:space="0"/>
            </w:tcBorders>
            <w:vAlign w:val="center"/>
          </w:tcPr>
          <w:p w14:paraId="4A84265A">
            <w:pPr>
              <w:tabs>
                <w:tab w:val="left" w:pos="0"/>
              </w:tabs>
              <w:adjustRightInd w:val="0"/>
              <w:snapToGrid w:val="0"/>
              <w:spacing w:line="320" w:lineRule="exact"/>
              <w:ind w:firstLine="0" w:firstLineChars="0"/>
              <w:jc w:val="left"/>
              <w:rPr>
                <w:rFonts w:ascii="仿宋" w:hAnsi="仿宋" w:eastAsia="仿宋" w:cs="仿宋"/>
                <w:sz w:val="21"/>
                <w:szCs w:val="21"/>
              </w:rPr>
            </w:pPr>
            <w:r>
              <w:rPr>
                <w:rFonts w:hint="eastAsia" w:ascii="仿宋" w:hAnsi="仿宋" w:eastAsia="仿宋" w:cs="仿宋"/>
                <w:sz w:val="21"/>
                <w:szCs w:val="21"/>
              </w:rPr>
              <w:t>数量</w:t>
            </w:r>
          </w:p>
        </w:tc>
        <w:tc>
          <w:tcPr>
            <w:tcW w:w="1454" w:type="dxa"/>
            <w:tcBorders>
              <w:top w:val="single" w:color="auto" w:sz="4" w:space="0"/>
              <w:left w:val="single" w:color="auto" w:sz="4" w:space="0"/>
              <w:bottom w:val="single" w:color="auto" w:sz="4" w:space="0"/>
              <w:right w:val="single" w:color="auto" w:sz="4" w:space="0"/>
            </w:tcBorders>
            <w:vAlign w:val="center"/>
          </w:tcPr>
          <w:p w14:paraId="7ECF34D4">
            <w:pPr>
              <w:tabs>
                <w:tab w:val="left" w:pos="0"/>
              </w:tabs>
              <w:adjustRightInd w:val="0"/>
              <w:snapToGrid w:val="0"/>
              <w:spacing w:line="320" w:lineRule="exact"/>
              <w:ind w:firstLine="210" w:firstLineChars="100"/>
              <w:jc w:val="left"/>
              <w:rPr>
                <w:rFonts w:ascii="仿宋" w:hAnsi="仿宋" w:eastAsia="仿宋" w:cs="仿宋"/>
                <w:sz w:val="21"/>
                <w:szCs w:val="21"/>
              </w:rPr>
            </w:pPr>
            <w:r>
              <w:rPr>
                <w:rFonts w:hint="eastAsia" w:ascii="仿宋" w:hAnsi="仿宋" w:eastAsia="仿宋" w:cs="仿宋"/>
                <w:sz w:val="21"/>
                <w:szCs w:val="21"/>
              </w:rPr>
              <w:t>单价（元）</w:t>
            </w:r>
          </w:p>
        </w:tc>
        <w:tc>
          <w:tcPr>
            <w:tcW w:w="1364" w:type="dxa"/>
            <w:tcBorders>
              <w:top w:val="single" w:color="auto" w:sz="4" w:space="0"/>
              <w:left w:val="single" w:color="auto" w:sz="4" w:space="0"/>
              <w:bottom w:val="single" w:color="auto" w:sz="4" w:space="0"/>
              <w:right w:val="single" w:color="auto" w:sz="4" w:space="0"/>
            </w:tcBorders>
            <w:vAlign w:val="center"/>
          </w:tcPr>
          <w:p w14:paraId="2EFA143F">
            <w:pPr>
              <w:tabs>
                <w:tab w:val="left" w:pos="0"/>
              </w:tabs>
              <w:adjustRightInd w:val="0"/>
              <w:snapToGrid w:val="0"/>
              <w:spacing w:line="320" w:lineRule="exact"/>
              <w:ind w:firstLine="0" w:firstLineChars="0"/>
              <w:jc w:val="left"/>
              <w:rPr>
                <w:rFonts w:ascii="仿宋" w:hAnsi="仿宋" w:eastAsia="仿宋" w:cs="仿宋"/>
                <w:sz w:val="21"/>
                <w:szCs w:val="21"/>
              </w:rPr>
            </w:pPr>
            <w:r>
              <w:rPr>
                <w:rFonts w:hint="eastAsia" w:ascii="仿宋" w:hAnsi="仿宋" w:eastAsia="仿宋" w:cs="仿宋"/>
                <w:sz w:val="21"/>
                <w:szCs w:val="21"/>
              </w:rPr>
              <w:t>总价（元）</w:t>
            </w:r>
          </w:p>
        </w:tc>
      </w:tr>
      <w:tr w14:paraId="71BC7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370A3EF5">
            <w:pPr>
              <w:tabs>
                <w:tab w:val="left" w:pos="0"/>
              </w:tabs>
              <w:adjustRightInd w:val="0"/>
              <w:snapToGrid w:val="0"/>
              <w:spacing w:line="320" w:lineRule="exact"/>
              <w:ind w:firstLine="210" w:firstLineChars="100"/>
              <w:jc w:val="left"/>
              <w:rPr>
                <w:rFonts w:ascii="仿宋" w:hAnsi="仿宋" w:eastAsia="仿宋" w:cs="仿宋"/>
                <w:sz w:val="21"/>
                <w:szCs w:val="21"/>
              </w:rPr>
            </w:pPr>
          </w:p>
        </w:tc>
        <w:tc>
          <w:tcPr>
            <w:tcW w:w="780" w:type="dxa"/>
            <w:tcBorders>
              <w:top w:val="single" w:color="auto" w:sz="4" w:space="0"/>
              <w:left w:val="single" w:color="auto" w:sz="4" w:space="0"/>
              <w:bottom w:val="single" w:color="auto" w:sz="4" w:space="0"/>
              <w:right w:val="single" w:color="auto" w:sz="4" w:space="0"/>
            </w:tcBorders>
            <w:vAlign w:val="center"/>
          </w:tcPr>
          <w:p w14:paraId="3F30AC0F">
            <w:pPr>
              <w:tabs>
                <w:tab w:val="left" w:pos="0"/>
              </w:tabs>
              <w:adjustRightInd w:val="0"/>
              <w:snapToGrid w:val="0"/>
              <w:spacing w:line="320" w:lineRule="exact"/>
              <w:ind w:firstLine="210" w:firstLineChars="100"/>
              <w:jc w:val="left"/>
              <w:rPr>
                <w:rFonts w:ascii="仿宋" w:hAnsi="仿宋" w:eastAsia="仿宋" w:cs="仿宋"/>
                <w:sz w:val="21"/>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418461A8">
            <w:pPr>
              <w:tabs>
                <w:tab w:val="left" w:pos="0"/>
              </w:tabs>
              <w:adjustRightInd w:val="0"/>
              <w:snapToGrid w:val="0"/>
              <w:spacing w:line="320" w:lineRule="exact"/>
              <w:ind w:firstLine="210" w:firstLineChars="100"/>
              <w:jc w:val="left"/>
              <w:rPr>
                <w:rFonts w:ascii="仿宋" w:hAnsi="仿宋" w:eastAsia="仿宋" w:cs="仿宋"/>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14:paraId="162EF7F7">
            <w:pPr>
              <w:tabs>
                <w:tab w:val="left" w:pos="0"/>
              </w:tabs>
              <w:adjustRightInd w:val="0"/>
              <w:snapToGrid w:val="0"/>
              <w:spacing w:line="320" w:lineRule="exact"/>
              <w:ind w:firstLine="210" w:firstLineChars="100"/>
              <w:jc w:val="left"/>
              <w:rPr>
                <w:rFonts w:ascii="仿宋" w:hAnsi="仿宋" w:eastAsia="仿宋" w:cs="仿宋"/>
                <w:sz w:val="21"/>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3D7BBC0">
            <w:pPr>
              <w:tabs>
                <w:tab w:val="left" w:pos="0"/>
              </w:tabs>
              <w:adjustRightInd w:val="0"/>
              <w:snapToGrid w:val="0"/>
              <w:spacing w:line="320" w:lineRule="exact"/>
              <w:ind w:firstLine="210" w:firstLineChars="100"/>
              <w:jc w:val="left"/>
              <w:rPr>
                <w:rFonts w:ascii="仿宋" w:hAnsi="仿宋" w:eastAsia="仿宋" w:cs="仿宋"/>
                <w:sz w:val="21"/>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6B791E0B">
            <w:pPr>
              <w:tabs>
                <w:tab w:val="left" w:pos="0"/>
              </w:tabs>
              <w:adjustRightInd w:val="0"/>
              <w:snapToGrid w:val="0"/>
              <w:spacing w:line="320" w:lineRule="exact"/>
              <w:ind w:firstLine="210" w:firstLineChars="100"/>
              <w:jc w:val="left"/>
              <w:rPr>
                <w:rFonts w:ascii="仿宋" w:hAnsi="仿宋" w:eastAsia="仿宋" w:cs="仿宋"/>
                <w:sz w:val="21"/>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550B6E77">
            <w:pPr>
              <w:tabs>
                <w:tab w:val="left" w:pos="0"/>
              </w:tabs>
              <w:adjustRightInd w:val="0"/>
              <w:snapToGrid w:val="0"/>
              <w:spacing w:line="320" w:lineRule="exact"/>
              <w:ind w:firstLine="210" w:firstLineChars="100"/>
              <w:jc w:val="left"/>
              <w:rPr>
                <w:rFonts w:ascii="仿宋" w:hAnsi="仿宋" w:eastAsia="仿宋" w:cs="仿宋"/>
                <w:sz w:val="21"/>
                <w:szCs w:val="21"/>
              </w:rPr>
            </w:pPr>
          </w:p>
        </w:tc>
      </w:tr>
      <w:tr w14:paraId="13849A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14:paraId="7FDC7774">
            <w:pPr>
              <w:tabs>
                <w:tab w:val="left" w:pos="0"/>
              </w:tabs>
              <w:adjustRightInd w:val="0"/>
              <w:snapToGrid w:val="0"/>
              <w:spacing w:line="320" w:lineRule="exact"/>
              <w:ind w:firstLine="210" w:firstLineChars="100"/>
              <w:jc w:val="left"/>
              <w:rPr>
                <w:rFonts w:ascii="仿宋" w:hAnsi="仿宋" w:eastAsia="仿宋" w:cs="仿宋"/>
                <w:sz w:val="21"/>
                <w:szCs w:val="21"/>
              </w:rPr>
            </w:pPr>
          </w:p>
        </w:tc>
        <w:tc>
          <w:tcPr>
            <w:tcW w:w="780" w:type="dxa"/>
            <w:tcBorders>
              <w:top w:val="single" w:color="auto" w:sz="4" w:space="0"/>
              <w:left w:val="single" w:color="auto" w:sz="4" w:space="0"/>
              <w:bottom w:val="single" w:color="auto" w:sz="4" w:space="0"/>
              <w:right w:val="single" w:color="auto" w:sz="4" w:space="0"/>
            </w:tcBorders>
            <w:vAlign w:val="center"/>
          </w:tcPr>
          <w:p w14:paraId="2877245D">
            <w:pPr>
              <w:tabs>
                <w:tab w:val="left" w:pos="0"/>
              </w:tabs>
              <w:adjustRightInd w:val="0"/>
              <w:snapToGrid w:val="0"/>
              <w:spacing w:line="320" w:lineRule="exact"/>
              <w:ind w:firstLine="210" w:firstLineChars="100"/>
              <w:jc w:val="left"/>
              <w:rPr>
                <w:rFonts w:ascii="仿宋" w:hAnsi="仿宋" w:eastAsia="仿宋" w:cs="仿宋"/>
                <w:sz w:val="21"/>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4B0C0E48">
            <w:pPr>
              <w:tabs>
                <w:tab w:val="left" w:pos="0"/>
              </w:tabs>
              <w:adjustRightInd w:val="0"/>
              <w:snapToGrid w:val="0"/>
              <w:spacing w:line="320" w:lineRule="exact"/>
              <w:ind w:firstLine="210" w:firstLineChars="100"/>
              <w:jc w:val="left"/>
              <w:rPr>
                <w:rFonts w:ascii="仿宋" w:hAnsi="仿宋" w:eastAsia="仿宋" w:cs="仿宋"/>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14:paraId="2AC20E0E">
            <w:pPr>
              <w:tabs>
                <w:tab w:val="left" w:pos="0"/>
              </w:tabs>
              <w:adjustRightInd w:val="0"/>
              <w:snapToGrid w:val="0"/>
              <w:spacing w:line="320" w:lineRule="exact"/>
              <w:ind w:firstLine="210" w:firstLineChars="100"/>
              <w:jc w:val="left"/>
              <w:rPr>
                <w:rFonts w:ascii="仿宋" w:hAnsi="仿宋" w:eastAsia="仿宋" w:cs="仿宋"/>
                <w:sz w:val="21"/>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2683688">
            <w:pPr>
              <w:tabs>
                <w:tab w:val="left" w:pos="0"/>
              </w:tabs>
              <w:adjustRightInd w:val="0"/>
              <w:snapToGrid w:val="0"/>
              <w:spacing w:line="320" w:lineRule="exact"/>
              <w:ind w:firstLine="210" w:firstLineChars="100"/>
              <w:jc w:val="left"/>
              <w:rPr>
                <w:rFonts w:ascii="仿宋" w:hAnsi="仿宋" w:eastAsia="仿宋" w:cs="仿宋"/>
                <w:sz w:val="21"/>
                <w:szCs w:val="21"/>
              </w:rPr>
            </w:pPr>
          </w:p>
        </w:tc>
        <w:tc>
          <w:tcPr>
            <w:tcW w:w="1454" w:type="dxa"/>
            <w:tcBorders>
              <w:top w:val="single" w:color="auto" w:sz="4" w:space="0"/>
              <w:left w:val="single" w:color="auto" w:sz="4" w:space="0"/>
              <w:bottom w:val="single" w:color="auto" w:sz="4" w:space="0"/>
              <w:right w:val="single" w:color="auto" w:sz="4" w:space="0"/>
            </w:tcBorders>
            <w:vAlign w:val="center"/>
          </w:tcPr>
          <w:p w14:paraId="678D8ACD">
            <w:pPr>
              <w:tabs>
                <w:tab w:val="left" w:pos="0"/>
              </w:tabs>
              <w:adjustRightInd w:val="0"/>
              <w:snapToGrid w:val="0"/>
              <w:spacing w:line="320" w:lineRule="exact"/>
              <w:ind w:firstLine="210" w:firstLineChars="100"/>
              <w:jc w:val="left"/>
              <w:rPr>
                <w:rFonts w:ascii="仿宋" w:hAnsi="仿宋" w:eastAsia="仿宋" w:cs="仿宋"/>
                <w:sz w:val="21"/>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37107E41">
            <w:pPr>
              <w:tabs>
                <w:tab w:val="left" w:pos="0"/>
              </w:tabs>
              <w:adjustRightInd w:val="0"/>
              <w:snapToGrid w:val="0"/>
              <w:spacing w:line="320" w:lineRule="exact"/>
              <w:ind w:firstLine="210" w:firstLineChars="100"/>
              <w:jc w:val="left"/>
              <w:rPr>
                <w:rFonts w:ascii="仿宋" w:hAnsi="仿宋" w:eastAsia="仿宋" w:cs="仿宋"/>
                <w:sz w:val="21"/>
                <w:szCs w:val="21"/>
              </w:rPr>
            </w:pPr>
          </w:p>
        </w:tc>
      </w:tr>
    </w:tbl>
    <w:p w14:paraId="1306F5DF">
      <w:pPr>
        <w:tabs>
          <w:tab w:val="left" w:pos="0"/>
        </w:tabs>
        <w:adjustRightInd w:val="0"/>
        <w:snapToGrid w:val="0"/>
        <w:spacing w:line="360" w:lineRule="auto"/>
        <w:ind w:firstLine="480" w:firstLineChars="200"/>
        <w:rPr>
          <w:rFonts w:hint="eastAsia" w:ascii="仿宋" w:hAnsi="仿宋" w:eastAsia="仿宋" w:cs="仿宋"/>
          <w:bCs/>
          <w:color w:val="auto"/>
          <w:sz w:val="24"/>
          <w:szCs w:val="24"/>
          <w:highlight w:val="yellow"/>
        </w:rPr>
      </w:pPr>
    </w:p>
    <w:p w14:paraId="5E54F265">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三、履约时间和方式</w:t>
      </w:r>
    </w:p>
    <w:p w14:paraId="240C46E0">
      <w:pPr>
        <w:tabs>
          <w:tab w:val="left" w:pos="0"/>
        </w:tabs>
        <w:adjustRightInd w:val="0"/>
        <w:snapToGrid w:val="0"/>
        <w:spacing w:line="360" w:lineRule="auto"/>
        <w:ind w:left="420" w:left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1.合同签订之日起5个日历天(含法定节假日和试运行)内，在甲方指定交货地点完成所有货物运输、卸载、搬运到位等工作并经甲方验收合格。</w:t>
      </w:r>
    </w:p>
    <w:p w14:paraId="788F8484">
      <w:pPr>
        <w:tabs>
          <w:tab w:val="left" w:pos="0"/>
        </w:tabs>
        <w:adjustRightInd w:val="0"/>
        <w:snapToGrid w:val="0"/>
        <w:spacing w:line="360" w:lineRule="auto"/>
        <w:ind w:left="420" w:leftChars="200"/>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2.服务地址：成都市技师学院校内（成都市郫都区港通北三路1899号）。</w:t>
      </w:r>
    </w:p>
    <w:p w14:paraId="077C656F">
      <w:pPr>
        <w:tabs>
          <w:tab w:val="left" w:pos="0"/>
        </w:tabs>
        <w:adjustRightInd w:val="0"/>
        <w:snapToGrid w:val="0"/>
        <w:spacing w:line="320" w:lineRule="exact"/>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四、合同总价、付款安排、支付方式</w:t>
      </w:r>
    </w:p>
    <w:p w14:paraId="2B030922">
      <w:pPr>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napToGrid/>
          <w:sz w:val="24"/>
          <w:szCs w:val="24"/>
        </w:rPr>
        <w:t>合同总价为人民币大写：</w:t>
      </w:r>
      <w:r>
        <w:rPr>
          <w:rFonts w:hint="eastAsia" w:ascii="仿宋" w:hAnsi="仿宋" w:eastAsia="仿宋" w:cs="仿宋"/>
          <w:snapToGrid/>
          <w:sz w:val="24"/>
          <w:szCs w:val="24"/>
          <w:u w:val="single"/>
        </w:rPr>
        <w:t xml:space="preserve">       </w:t>
      </w:r>
      <w:r>
        <w:rPr>
          <w:rFonts w:hint="eastAsia" w:ascii="仿宋" w:hAnsi="仿宋" w:eastAsia="仿宋" w:cs="仿宋"/>
          <w:snapToGrid/>
          <w:sz w:val="24"/>
          <w:szCs w:val="24"/>
        </w:rPr>
        <w:t>整，即￥</w:t>
      </w:r>
      <w:r>
        <w:rPr>
          <w:rFonts w:hint="eastAsia" w:ascii="仿宋" w:hAnsi="仿宋" w:eastAsia="仿宋" w:cs="仿宋"/>
          <w:snapToGrid/>
          <w:sz w:val="24"/>
          <w:szCs w:val="24"/>
          <w:u w:val="single"/>
        </w:rPr>
        <w:t xml:space="preserve">      </w:t>
      </w:r>
      <w:r>
        <w:rPr>
          <w:rFonts w:hint="eastAsia" w:ascii="仿宋" w:hAnsi="仿宋" w:eastAsia="仿宋" w:cs="仿宋"/>
          <w:snapToGrid/>
          <w:sz w:val="24"/>
          <w:szCs w:val="24"/>
        </w:rPr>
        <w:t>元整。该合同总价为固定包干价且含税，包含但不限于人工、包装、运输等完成本项目工作的所需的所有费用，本合同执行期间合同总价不变，甲方无须另向乙方支付本合同规定之外的其他任何费用。</w:t>
      </w:r>
    </w:p>
    <w:p w14:paraId="57E0CC0E">
      <w:pPr>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2.一次性付款，所有货物经过甲方验收合格交货后，自甲方收到乙方提供的符合甲方财务要求且合法有效完整的等额完税发票之日起15个日历天内付款。</w:t>
      </w:r>
    </w:p>
    <w:p w14:paraId="29FBFCE5">
      <w:pPr>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3.若甲方收到发票之日早于验收合格之日，则自验收合格之日起15个日历天内付款。</w:t>
      </w:r>
    </w:p>
    <w:p w14:paraId="33FC65AF">
      <w:pPr>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4.若乙方未提供增值税发票（普票），或发票经国税网验审不合格的，甲方有权拒付，且不承担逾期付款的责任。</w:t>
      </w:r>
    </w:p>
    <w:p w14:paraId="4E8E18C7">
      <w:pPr>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5.乙方保证提供的银行账户信息真实有效，如果乙方账户信息更改（甲方原则上不予以更换合同账户），需要在甲方付款前10个日历天内告知甲方，若因乙方原因导致甲方无法付款或错误付款，后果由乙方自行承担。</w:t>
      </w:r>
    </w:p>
    <w:p w14:paraId="0FC77680">
      <w:pPr>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6.乙方指定收款账户信息：</w:t>
      </w:r>
    </w:p>
    <w:p w14:paraId="41D25AAA">
      <w:pPr>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公司名称：XXXXXX</w:t>
      </w:r>
    </w:p>
    <w:p w14:paraId="32F291A6">
      <w:pPr>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开户行：XXXXXX</w:t>
      </w:r>
    </w:p>
    <w:p w14:paraId="7D64594B">
      <w:pPr>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账号：XXXXXX</w:t>
      </w:r>
    </w:p>
    <w:p w14:paraId="06B1A7D2">
      <w:pPr>
        <w:adjustRightInd w:val="0"/>
        <w:snapToGrid w:val="0"/>
        <w:spacing w:line="320" w:lineRule="exact"/>
        <w:ind w:firstLine="241" w:firstLineChars="100"/>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质量及供货渠道要求</w:t>
      </w:r>
    </w:p>
    <w:p w14:paraId="44DF54FC">
      <w:pPr>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1.乙方应保证货物（含零部件、配件等）是全新、未拆封、未使用过的原装合格正品，表面无划伤、无碰撞痕迹。</w:t>
      </w:r>
    </w:p>
    <w:p w14:paraId="7C6B359E">
      <w:pPr>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2.乙方提供的货物必须符合国家(行业)标准，以及本项目书面询价单规定的质量、规格和性能的要求。如果乙方提供的产品的质量或规格与书面询价单和乙方的响应文件不符，或证实产品是有缺陷的，包括潜在的缺陷或使用不符合要求的产品等，乙方应在接到甲方书面通知后5个历天内完成换货，因换货产生的费用由乙方承担，如因不合格产品给甲方造成损失，乙方还应承担赔偿责任。产品因质量问题产生的纠纷等均由乙方负全部经济和法律责任。</w:t>
      </w:r>
    </w:p>
    <w:p w14:paraId="4805E874">
      <w:pPr>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六、包装（方式）、运输要求</w:t>
      </w:r>
    </w:p>
    <w:p w14:paraId="01E9981F">
      <w:pPr>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乙方为本项目实施涉及的商品包装和快递包装，均符合《商品包装政府采购需求标准（试行）》 《快递包装政府采购需求标准（试行）》的要求。该包装应适应于远距离运输、防潮、防震、防锈和防野蛮装卸，以确保货物安全无损运抵指定地点。由于包装不善所引起的货物损失均由乙方承担。</w:t>
      </w:r>
    </w:p>
    <w:p w14:paraId="39A54BBF">
      <w:pPr>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货物交付甲方前毁损灭失风险由乙方自行承担。</w:t>
      </w:r>
    </w:p>
    <w:p w14:paraId="0248FC1B">
      <w:pPr>
        <w:tabs>
          <w:tab w:val="left" w:pos="0"/>
        </w:tabs>
        <w:adjustRightInd w:val="0"/>
        <w:snapToGrid w:val="0"/>
        <w:spacing w:line="320" w:lineRule="exact"/>
        <w:ind w:firstLine="241" w:firstLineChars="100"/>
        <w:jc w:val="left"/>
        <w:rPr>
          <w:rFonts w:hint="eastAsia" w:ascii="仿宋" w:hAnsi="仿宋" w:eastAsia="仿宋" w:cs="仿宋"/>
          <w:b/>
          <w:bCs/>
          <w:sz w:val="24"/>
          <w:szCs w:val="24"/>
        </w:rPr>
      </w:pPr>
      <w:r>
        <w:rPr>
          <w:rFonts w:hint="eastAsia" w:ascii="仿宋" w:hAnsi="仿宋" w:eastAsia="仿宋" w:cs="仿宋"/>
          <w:b/>
          <w:bCs/>
          <w:sz w:val="24"/>
          <w:szCs w:val="24"/>
        </w:rPr>
        <w:t>七、售后服务及要求</w:t>
      </w:r>
    </w:p>
    <w:p w14:paraId="17815F0E">
      <w:pPr>
        <w:tabs>
          <w:tab w:val="left" w:pos="0"/>
        </w:tabs>
        <w:adjustRightInd w:val="0"/>
        <w:snapToGrid w:val="0"/>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1.售后服务期限:180个日历天, 自验收合格之日算起。</w:t>
      </w:r>
    </w:p>
    <w:p w14:paraId="6FDF5858">
      <w:pPr>
        <w:tabs>
          <w:tab w:val="left" w:pos="0"/>
        </w:tabs>
        <w:adjustRightInd w:val="0"/>
        <w:snapToGrid w:val="0"/>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2.售后服务分电话（含网络）服务和上门服务。</w:t>
      </w:r>
      <w:r>
        <w:rPr>
          <w:rFonts w:hint="eastAsia" w:ascii="仿宋" w:hAnsi="仿宋" w:eastAsia="仿宋" w:cs="仿宋"/>
          <w:sz w:val="24"/>
          <w:szCs w:val="24"/>
        </w:rPr>
        <w:t>售后服务期内，货物出现任何质量问题或发生任何故障的，乙方应在接到甲方通知后XX小时内电话响应；若通过电话无法解决的，乙方应在XX日到达现场进行维修。</w:t>
      </w:r>
    </w:p>
    <w:p w14:paraId="36A022B7">
      <w:pPr>
        <w:tabs>
          <w:tab w:val="left" w:pos="0"/>
        </w:tabs>
        <w:adjustRightInd w:val="0"/>
        <w:snapToGrid w:val="0"/>
        <w:spacing w:line="240" w:lineRule="auto"/>
        <w:jc w:val="left"/>
        <w:rPr>
          <w:rFonts w:hint="eastAsia" w:ascii="仿宋" w:hAnsi="仿宋" w:eastAsia="仿宋" w:cs="仿宋"/>
          <w:bCs/>
          <w:sz w:val="24"/>
          <w:szCs w:val="24"/>
        </w:rPr>
      </w:pPr>
      <w:r>
        <w:rPr>
          <w:rFonts w:hint="eastAsia" w:ascii="仿宋" w:hAnsi="仿宋" w:eastAsia="仿宋" w:cs="仿宋"/>
          <w:bCs/>
          <w:sz w:val="24"/>
          <w:szCs w:val="24"/>
        </w:rPr>
        <w:t>3.售后服务期内货物经供应商二次维修都不能达到需求的，供应商提供更换服务</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费用包含在报价中</w:t>
      </w:r>
      <w:r>
        <w:rPr>
          <w:rFonts w:hint="eastAsia" w:ascii="仿宋" w:hAnsi="仿宋" w:eastAsia="仿宋" w:cs="仿宋"/>
          <w:bCs/>
          <w:sz w:val="24"/>
          <w:szCs w:val="24"/>
        </w:rPr>
        <w:t>。</w:t>
      </w:r>
    </w:p>
    <w:p w14:paraId="6C397E7E">
      <w:pPr>
        <w:tabs>
          <w:tab w:val="left" w:pos="0"/>
        </w:tabs>
        <w:adjustRightInd w:val="0"/>
        <w:snapToGrid w:val="0"/>
        <w:spacing w:line="3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4.售后服务期内，乙方为甲方提供的售后服务，包括耗材费、人工费、交通费等，均由乙方自行承担。</w:t>
      </w:r>
    </w:p>
    <w:p w14:paraId="132D2EDE">
      <w:pPr>
        <w:tabs>
          <w:tab w:val="left" w:pos="0"/>
        </w:tabs>
        <w:adjustRightInd w:val="0"/>
        <w:snapToGrid w:val="0"/>
        <w:spacing w:line="320" w:lineRule="exact"/>
        <w:ind w:firstLine="241" w:firstLineChars="100"/>
        <w:jc w:val="left"/>
        <w:rPr>
          <w:rFonts w:hint="eastAsia" w:ascii="仿宋" w:hAnsi="仿宋" w:eastAsia="仿宋" w:cs="仿宋"/>
          <w:b/>
          <w:bCs/>
          <w:sz w:val="24"/>
          <w:szCs w:val="24"/>
          <w:highlight w:val="red"/>
        </w:rPr>
      </w:pPr>
      <w:r>
        <w:rPr>
          <w:rFonts w:hint="eastAsia" w:ascii="仿宋" w:hAnsi="仿宋" w:eastAsia="仿宋" w:cs="仿宋"/>
          <w:b/>
          <w:bCs/>
          <w:sz w:val="24"/>
          <w:szCs w:val="24"/>
        </w:rPr>
        <w:t>八、其他商务要求</w:t>
      </w:r>
    </w:p>
    <w:p w14:paraId="6152BFC9">
      <w:pPr>
        <w:tabs>
          <w:tab w:val="left" w:pos="0"/>
        </w:tabs>
        <w:adjustRightInd w:val="0"/>
        <w:snapToGrid w:val="0"/>
        <w:spacing w:line="320" w:lineRule="exact"/>
        <w:ind w:firstLine="240" w:firstLineChars="100"/>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366E16EB">
      <w:pPr>
        <w:numPr>
          <w:ilvl w:val="-1"/>
          <w:numId w:val="0"/>
        </w:numPr>
        <w:tabs>
          <w:tab w:val="left" w:pos="0"/>
        </w:tabs>
        <w:adjustRightInd w:val="0"/>
        <w:snapToGrid w:val="0"/>
        <w:spacing w:line="320" w:lineRule="exact"/>
        <w:ind w:firstLine="240" w:firstLineChars="100"/>
        <w:outlineLvl w:val="9"/>
        <w:rPr>
          <w:rFonts w:hint="eastAsia" w:ascii="仿宋" w:hAnsi="仿宋" w:eastAsia="仿宋" w:cs="仿宋"/>
          <w:color w:val="auto"/>
          <w:sz w:val="24"/>
          <w:szCs w:val="24"/>
        </w:rPr>
      </w:pPr>
      <w:r>
        <w:rPr>
          <w:rFonts w:hint="eastAsia" w:ascii="仿宋" w:hAnsi="仿宋" w:eastAsia="仿宋" w:cs="仿宋"/>
          <w:color w:val="auto"/>
          <w:sz w:val="24"/>
          <w:szCs w:val="24"/>
        </w:rPr>
        <w:t>履约保证金</w:t>
      </w:r>
    </w:p>
    <w:p w14:paraId="6D66FC2A">
      <w:pPr>
        <w:numPr>
          <w:ilvl w:val="-1"/>
          <w:numId w:val="0"/>
        </w:numPr>
        <w:tabs>
          <w:tab w:val="left" w:pos="0"/>
        </w:tabs>
        <w:adjustRightInd w:val="0"/>
        <w:snapToGrid w:val="0"/>
        <w:spacing w:line="32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（一）履约保证金为合同金额的5%，即XXX元，乙方应在成交通知书发出之日起合同签订前以银行转账形式向甲方提交履约保证金。</w:t>
      </w:r>
    </w:p>
    <w:p w14:paraId="30E39E93">
      <w:pPr>
        <w:numPr>
          <w:ilvl w:val="-1"/>
          <w:numId w:val="0"/>
        </w:numPr>
        <w:tabs>
          <w:tab w:val="left" w:pos="0"/>
        </w:tabs>
        <w:adjustRightInd w:val="0"/>
        <w:snapToGrid w:val="0"/>
        <w:spacing w:line="32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二）履行合同约定(含售后服务)完毕且验收合格后，10个日历天内无息退还乙方应退部分履约保证金。若因乙方不及时或未提供“收到退还履约保证金的收据”、“履约保证金退还申请”的，则甲方不承担任何责任。</w:t>
      </w:r>
    </w:p>
    <w:p w14:paraId="12F3A406">
      <w:pPr>
        <w:numPr>
          <w:ilvl w:val="-1"/>
          <w:numId w:val="0"/>
        </w:numPr>
        <w:tabs>
          <w:tab w:val="left" w:pos="0"/>
        </w:tabs>
        <w:adjustRightInd w:val="0"/>
        <w:snapToGrid w:val="0"/>
        <w:spacing w:line="320" w:lineRule="exact"/>
        <w:ind w:firstLine="240" w:firstLineChars="100"/>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（三）履约保证金汇入的银行及账号：</w:t>
      </w:r>
    </w:p>
    <w:p w14:paraId="5582C3FD">
      <w:pPr>
        <w:numPr>
          <w:ilvl w:val="-1"/>
          <w:numId w:val="0"/>
        </w:numPr>
        <w:tabs>
          <w:tab w:val="left" w:pos="0"/>
        </w:tabs>
        <w:adjustRightInd w:val="0"/>
        <w:snapToGrid w:val="0"/>
        <w:spacing w:line="32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收款账号：成都市技师学院</w:t>
      </w:r>
    </w:p>
    <w:p w14:paraId="1DE21C54">
      <w:pPr>
        <w:numPr>
          <w:ilvl w:val="-1"/>
          <w:numId w:val="0"/>
        </w:numPr>
        <w:tabs>
          <w:tab w:val="left" w:pos="0"/>
        </w:tabs>
        <w:adjustRightInd w:val="0"/>
        <w:snapToGrid w:val="0"/>
        <w:spacing w:line="32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开户行：工行四川成都分行郫都红光支行</w:t>
      </w:r>
    </w:p>
    <w:p w14:paraId="6F8355CC">
      <w:pPr>
        <w:numPr>
          <w:ilvl w:val="-1"/>
          <w:numId w:val="0"/>
        </w:numPr>
        <w:tabs>
          <w:tab w:val="left" w:pos="0"/>
        </w:tabs>
        <w:adjustRightInd w:val="0"/>
        <w:snapToGrid w:val="0"/>
        <w:spacing w:line="32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银行账号：4402054609100031151</w:t>
      </w:r>
    </w:p>
    <w:p w14:paraId="7D14222D">
      <w:pPr>
        <w:numPr>
          <w:ilvl w:val="0"/>
          <w:numId w:val="0"/>
        </w:numPr>
        <w:tabs>
          <w:tab w:val="left" w:pos="0"/>
        </w:tabs>
        <w:adjustRightInd w:val="0"/>
        <w:snapToGrid w:val="0"/>
        <w:spacing w:line="320" w:lineRule="exact"/>
        <w:ind w:firstLine="240" w:firstLineChars="100"/>
        <w:rPr>
          <w:rFonts w:hint="eastAsia" w:ascii="仿宋" w:hAnsi="仿宋" w:eastAsia="仿宋" w:cs="仿宋"/>
          <w:snapToGrid w:val="0"/>
          <w:color w:val="auto"/>
          <w:sz w:val="24"/>
          <w:szCs w:val="24"/>
          <w:lang w:val="zh-CN"/>
        </w:rPr>
      </w:pPr>
      <w:r>
        <w:rPr>
          <w:rFonts w:hint="eastAsia" w:ascii="仿宋" w:hAnsi="仿宋" w:eastAsia="仿宋" w:cs="仿宋"/>
          <w:color w:val="auto"/>
          <w:sz w:val="24"/>
          <w:szCs w:val="24"/>
        </w:rPr>
        <w:t>（四）履约保证金不予退还情形:一是乙方未按合同要求履行的，其履约保证金全部扣除。二是乙方缴纳了履约保证金，但因自身原因被取消成交资格或在成交通知书发出之日起30日历天（含法定节假日）内乙方不按采购文件确定的事项与甲方签订合同的，其履约保证金不予退还。</w:t>
      </w:r>
    </w:p>
    <w:p w14:paraId="0C481EB3">
      <w:pPr>
        <w:tabs>
          <w:tab w:val="left" w:pos="0"/>
        </w:tabs>
        <w:adjustRightInd w:val="0"/>
        <w:snapToGrid w:val="0"/>
        <w:spacing w:line="320" w:lineRule="exact"/>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九、双方的权利和义务</w:t>
      </w:r>
    </w:p>
    <w:p w14:paraId="77B39600">
      <w:pPr>
        <w:tabs>
          <w:tab w:val="left" w:pos="0"/>
        </w:tabs>
        <w:adjustRightInd w:val="0"/>
        <w:snapToGrid w:val="0"/>
        <w:spacing w:line="320" w:lineRule="exact"/>
        <w:ind w:firstLine="240" w:firstLineChars="100"/>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（一）甲方的权利和义务</w:t>
      </w:r>
    </w:p>
    <w:p w14:paraId="4DECA6A6">
      <w:pPr>
        <w:tabs>
          <w:tab w:val="left" w:pos="0"/>
        </w:tabs>
        <w:adjustRightInd w:val="0"/>
        <w:snapToGrid w:val="0"/>
        <w:spacing w:line="320" w:lineRule="exact"/>
        <w:ind w:firstLine="240" w:firstLineChars="100"/>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1.甲方有权对合同规定范围内乙方提供的货物进行监督和检查，拥有监管权。有权核对乙方提供货物的质量。甲方对乙方认为质量不合格的货物有权下达整改通知书，并要求乙方限期更换。</w:t>
      </w:r>
    </w:p>
    <w:p w14:paraId="47525287">
      <w:pPr>
        <w:tabs>
          <w:tab w:val="left" w:pos="0"/>
        </w:tabs>
        <w:adjustRightInd w:val="0"/>
        <w:snapToGrid w:val="0"/>
        <w:spacing w:line="320" w:lineRule="exact"/>
        <w:ind w:firstLine="240" w:firstLineChars="100"/>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2.甲方负责检查监督乙方提供货物的实施的执行情况。</w:t>
      </w:r>
    </w:p>
    <w:p w14:paraId="6295DC2B">
      <w:pPr>
        <w:tabs>
          <w:tab w:val="left" w:pos="0"/>
        </w:tabs>
        <w:adjustRightInd w:val="0"/>
        <w:snapToGrid w:val="0"/>
        <w:spacing w:line="320" w:lineRule="exact"/>
        <w:ind w:firstLine="240" w:firstLineChars="100"/>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3.根据本合同规定，按时向乙方支付应付费用。</w:t>
      </w:r>
    </w:p>
    <w:p w14:paraId="0F7F6DB7">
      <w:pPr>
        <w:tabs>
          <w:tab w:val="left" w:pos="0"/>
        </w:tabs>
        <w:adjustRightInd w:val="0"/>
        <w:snapToGrid w:val="0"/>
        <w:spacing w:line="320" w:lineRule="exact"/>
        <w:ind w:firstLine="240" w:firstLineChars="100"/>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4.国家法律、法规所规定由甲方承担的其它责任。</w:t>
      </w:r>
    </w:p>
    <w:p w14:paraId="29F2DCD4">
      <w:pPr>
        <w:tabs>
          <w:tab w:val="left" w:pos="0"/>
        </w:tabs>
        <w:adjustRightInd w:val="0"/>
        <w:snapToGrid w:val="0"/>
        <w:spacing w:line="320" w:lineRule="exact"/>
        <w:ind w:firstLine="240" w:firstLineChars="100"/>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（二）乙方的权利和义务</w:t>
      </w:r>
    </w:p>
    <w:p w14:paraId="410633CD">
      <w:pPr>
        <w:tabs>
          <w:tab w:val="left" w:pos="0"/>
        </w:tabs>
        <w:adjustRightInd w:val="0"/>
        <w:snapToGrid w:val="0"/>
        <w:spacing w:line="320" w:lineRule="exact"/>
        <w:ind w:firstLine="240" w:firstLineChars="100"/>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1.在本合同规定的委托事项范围内按合同约定保质保量向甲方提供货物。</w:t>
      </w:r>
    </w:p>
    <w:p w14:paraId="310338D1">
      <w:pPr>
        <w:tabs>
          <w:tab w:val="left" w:pos="0"/>
        </w:tabs>
        <w:adjustRightInd w:val="0"/>
        <w:snapToGrid w:val="0"/>
        <w:spacing w:line="320" w:lineRule="exact"/>
        <w:ind w:firstLine="240" w:firstLineChars="100"/>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2.及时向甲方通告本项目实施相关重大事项。</w:t>
      </w:r>
    </w:p>
    <w:p w14:paraId="70A99DE5">
      <w:pPr>
        <w:tabs>
          <w:tab w:val="left" w:pos="0"/>
        </w:tabs>
        <w:adjustRightInd w:val="0"/>
        <w:snapToGrid w:val="0"/>
        <w:spacing w:line="320" w:lineRule="exact"/>
        <w:ind w:firstLine="240" w:firstLineChars="100"/>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3.接受项目行业管理部门及政府有关部门的指导，接受甲方的监督。</w:t>
      </w:r>
    </w:p>
    <w:p w14:paraId="73C4B68E">
      <w:pPr>
        <w:tabs>
          <w:tab w:val="left" w:pos="0"/>
        </w:tabs>
        <w:adjustRightInd w:val="0"/>
        <w:snapToGrid w:val="0"/>
        <w:spacing w:line="320" w:lineRule="exact"/>
        <w:ind w:firstLine="240" w:firstLineChars="100"/>
        <w:rPr>
          <w:rFonts w:hint="eastAsia" w:ascii="仿宋" w:hAnsi="仿宋" w:eastAsia="仿宋" w:cs="仿宋"/>
          <w:snapToGrid w:val="0"/>
          <w:sz w:val="24"/>
          <w:szCs w:val="24"/>
          <w:lang w:val="zh-CN"/>
        </w:rPr>
      </w:pPr>
      <w:r>
        <w:rPr>
          <w:rFonts w:hint="eastAsia" w:ascii="仿宋" w:hAnsi="仿宋" w:eastAsia="仿宋" w:cs="仿宋"/>
          <w:snapToGrid w:val="0"/>
          <w:sz w:val="24"/>
          <w:szCs w:val="24"/>
          <w:lang w:val="zh-CN"/>
        </w:rPr>
        <w:t>4.履行本合同的全部安全责任均由乙方承担，甲方对此不承担任何责任。</w:t>
      </w:r>
    </w:p>
    <w:p w14:paraId="526B0849">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lang w:val="zh-CN"/>
        </w:rPr>
        <w:t>5.国家法律、法规所规定由乙方承担的其它责任。</w:t>
      </w:r>
    </w:p>
    <w:p w14:paraId="6FB9C8FF">
      <w:pPr>
        <w:tabs>
          <w:tab w:val="left" w:pos="0"/>
        </w:tabs>
        <w:adjustRightInd w:val="0"/>
        <w:snapToGrid w:val="0"/>
        <w:spacing w:line="320" w:lineRule="exact"/>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十、验收、交付标准和方法</w:t>
      </w:r>
    </w:p>
    <w:p w14:paraId="61B55FCE">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1.验收的主体：甲方</w:t>
      </w:r>
    </w:p>
    <w:p w14:paraId="21BC2D27">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2.验收的时间：乙方完成该项目后，甲方验收小组进行验收。</w:t>
      </w:r>
    </w:p>
    <w:p w14:paraId="241F7FC8">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3.验收的方式：甲方验收小组进行现场验收。</w:t>
      </w:r>
    </w:p>
    <w:p w14:paraId="764E4105">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4.验收标准：按询价单的质量要求和乙方的响应文件及承诺、合同约定进行验收。其他未尽事宜应参照《财政部关于进一步加强政府采购需求和履约验收管理的指导意见》。</w:t>
      </w:r>
    </w:p>
    <w:p w14:paraId="0366230D">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5.验收合格后，双方签署《验收合格报告》。若验收不合格，甲方书面通知乙方进行整改，乙方在收到通知书5个日历天内完成整改并将整改合格的货物交付给甲方；若乙方未在约定时间完成整改或拒绝整改，视为乙方违约，甲方有权依照本合同第十五条第2款第（2）项约定追究乙方责任。</w:t>
      </w:r>
    </w:p>
    <w:p w14:paraId="2902079F">
      <w:pPr>
        <w:tabs>
          <w:tab w:val="left" w:pos="0"/>
        </w:tabs>
        <w:adjustRightInd w:val="0"/>
        <w:snapToGrid w:val="0"/>
        <w:spacing w:line="320" w:lineRule="exact"/>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十一、解决争议的方法</w:t>
      </w:r>
    </w:p>
    <w:p w14:paraId="37309DD7">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履约期间,若双方发生争议，双方应通过友好协商解决，经协商不能达成协议时，应向甲方所在地人民法院提起诉讼。除判决另有约定外，一切涉诉合理费用（包括但不限于诉讼费、律师费、保全费、公告费等）均由违约方承担。</w:t>
      </w:r>
    </w:p>
    <w:p w14:paraId="1375F819">
      <w:pPr>
        <w:tabs>
          <w:tab w:val="left" w:pos="0"/>
        </w:tabs>
        <w:adjustRightInd w:val="0"/>
        <w:snapToGrid w:val="0"/>
        <w:spacing w:line="320" w:lineRule="exact"/>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十二、知识产权</w:t>
      </w:r>
    </w:p>
    <w:p w14:paraId="5873B690">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1.乙方应保证在本项目使用的任何产品和服务(包括部分使用)时，不会产生因第三方提出侵犯其专利权、商标权或其它知识产权而引起的法律和经济纠纷，如因专利权、商标权或其它知识产权而引起法律和经济纠纷，由乙方承担所有相关责任，乙方应赔偿由此给甲方造成的全部损失（包括但不限于诉讼费、律师费、保全费等）。</w:t>
      </w:r>
    </w:p>
    <w:p w14:paraId="385F849F">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2.甲方享有本项目实施过程中产生的知识成果及知识产权。</w:t>
      </w:r>
    </w:p>
    <w:p w14:paraId="0DDE3FB2">
      <w:pPr>
        <w:tabs>
          <w:tab w:val="left" w:pos="0"/>
        </w:tabs>
        <w:adjustRightInd w:val="0"/>
        <w:snapToGrid w:val="0"/>
        <w:spacing w:line="320" w:lineRule="exact"/>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十三、合同的变更和终止</w:t>
      </w:r>
    </w:p>
    <w:p w14:paraId="559BB94D">
      <w:pPr>
        <w:pStyle w:val="8"/>
        <w:spacing w:line="360" w:lineRule="exact"/>
        <w:rPr>
          <w:rFonts w:hint="eastAsia" w:ascii="仿宋" w:hAnsi="仿宋" w:eastAsia="仿宋" w:cs="仿宋"/>
          <w:snapToGrid w:val="0"/>
          <w:sz w:val="24"/>
          <w:szCs w:val="24"/>
        </w:rPr>
      </w:pPr>
      <w:r>
        <w:rPr>
          <w:rFonts w:hint="eastAsia" w:ascii="仿宋" w:hAnsi="仿宋" w:eastAsia="仿宋" w:cs="仿宋"/>
          <w:sz w:val="24"/>
          <w:szCs w:val="24"/>
        </w:rPr>
        <w:t>1.本合同履行中，甲方需追加与合同标的相同的货物、服务、工程的，在不改变合同其他条款的前提下，可以与乙方协商签订补充合同，但所有补充合同的采购金额不得超过原合同采购金额的百分之十。</w:t>
      </w:r>
      <w:r>
        <w:rPr>
          <w:rFonts w:hint="eastAsia" w:ascii="仿宋" w:hAnsi="仿宋" w:eastAsia="仿宋" w:cs="仿宋"/>
          <w:sz w:val="24"/>
          <w:szCs w:val="24"/>
        </w:rPr>
        <w:br w:type="textWrapping"/>
      </w:r>
      <w:r>
        <w:rPr>
          <w:rFonts w:hint="eastAsia" w:ascii="仿宋" w:hAnsi="仿宋" w:eastAsia="仿宋" w:cs="仿宋"/>
          <w:sz w:val="24"/>
          <w:szCs w:val="24"/>
        </w:rPr>
        <w:t>2.合同继续履行将损害国家利益和社会公共利益的，双方当事人应当变更、中止或者终止合同。有过错的一方应当承担赔偿责任，双方都有过错的，各自承担相应的责任。</w:t>
      </w:r>
      <w:r>
        <w:rPr>
          <w:rFonts w:hint="eastAsia" w:ascii="仿宋" w:hAnsi="仿宋" w:eastAsia="仿宋" w:cs="仿宋"/>
          <w:sz w:val="24"/>
          <w:szCs w:val="24"/>
        </w:rPr>
        <w:br w:type="textWrapping"/>
      </w:r>
      <w:r>
        <w:rPr>
          <w:rFonts w:hint="eastAsia" w:ascii="仿宋" w:hAnsi="仿宋" w:eastAsia="仿宋" w:cs="仿宋"/>
          <w:sz w:val="24"/>
          <w:szCs w:val="24"/>
        </w:rPr>
        <w:t>除以上两条规定的情形外，本合同一经签订，甲乙双方不得擅自变更、中止或终止合同。</w:t>
      </w:r>
    </w:p>
    <w:p w14:paraId="51F21F57">
      <w:pPr>
        <w:tabs>
          <w:tab w:val="left" w:pos="0"/>
        </w:tabs>
        <w:adjustRightInd w:val="0"/>
        <w:snapToGrid w:val="0"/>
        <w:spacing w:line="320" w:lineRule="exact"/>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十四、合同的分包和转让</w:t>
      </w:r>
    </w:p>
    <w:p w14:paraId="25F689FC">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1.乙方不得部分或全部转让其应履行的合同义务；</w:t>
      </w:r>
    </w:p>
    <w:p w14:paraId="37FEA6D6">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2.乙方不得分包。</w:t>
      </w:r>
    </w:p>
    <w:p w14:paraId="09458BEE">
      <w:pPr>
        <w:tabs>
          <w:tab w:val="left" w:pos="0"/>
        </w:tabs>
        <w:adjustRightInd w:val="0"/>
        <w:snapToGrid w:val="0"/>
        <w:spacing w:line="320" w:lineRule="exact"/>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十五、违约责任</w:t>
      </w:r>
    </w:p>
    <w:p w14:paraId="68E6C7FA">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1.甲方违约责任</w:t>
      </w:r>
    </w:p>
    <w:p w14:paraId="75FA62C5">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（1）甲方故意逾期支付货款的，除应及时付足货款外，应向乙方偿付欠款总额万分之一/天的违约金，但逾期违约金不得超过欠款总额的百分之</w:t>
      </w:r>
      <w:r>
        <w:rPr>
          <w:rFonts w:hint="eastAsia" w:ascii="仿宋" w:hAnsi="仿宋" w:eastAsia="仿宋" w:cs="仿宋"/>
          <w:snapToGrid w:val="0"/>
          <w:sz w:val="24"/>
          <w:szCs w:val="24"/>
          <w:lang w:val="en-US" w:eastAsia="zh-CN"/>
        </w:rPr>
        <w:t>五</w:t>
      </w:r>
      <w:r>
        <w:rPr>
          <w:rFonts w:hint="eastAsia" w:ascii="仿宋" w:hAnsi="仿宋" w:eastAsia="仿宋" w:cs="仿宋"/>
          <w:snapToGrid w:val="0"/>
          <w:sz w:val="24"/>
          <w:szCs w:val="24"/>
        </w:rPr>
        <w:t>；逾期付款超过15个日历天的，乙方有权终止合同。</w:t>
      </w:r>
    </w:p>
    <w:p w14:paraId="66EFCA7B">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（2）非甲方故意逾期付款的，甲方不承担任何逾期付款责任，乙方也不得终止合同。</w:t>
      </w:r>
    </w:p>
    <w:p w14:paraId="077E62EB">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2.乙方违约责任</w:t>
      </w:r>
    </w:p>
    <w:p w14:paraId="7DF0CAB9">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(1)乙方交付的货物质量不符询价通知书和乙方的响应文件规定的，乙方应在5个日历天内进行整改。若乙方未在5个日历天内完成整改或整改后货物仍不符合询价通知书和乙方的响应文件的质量要求，视作乙方不能交付货物而违约，乙方按本条本款下述第“（2）”项规定向甲方支付违约金。</w:t>
      </w:r>
    </w:p>
    <w:p w14:paraId="05884E32">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(2)乙方不能交付货物而违约的，本合同终止，甲方不再向乙方支付任何费用，乙方应按合同总金额的百分之二十向甲方支付违约金和赔偿因此给甲方造成的全部损失。</w:t>
      </w:r>
    </w:p>
    <w:p w14:paraId="3593B472">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(3)乙方逾期交付货物而违约的，除应及时交足货物外，还应向甲方偿付逾期交货部分货款总额的万分之一/天的违约金。乙方逾期30个日历天未交付全部货物的，甲方有权终止合同并要求乙方按合同总金额的百分之二十支付违约金和赔偿因此给甲方造成的全部损失。</w:t>
      </w:r>
    </w:p>
    <w:p w14:paraId="4B333F47">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(4)若乙方提供虚假、作废发票或违反国家法律、法规开具或提供发票的，乙方自行承担全部法律责任，同时乙方还应按成交金额的百分之二十向甲方支付违约金。</w:t>
      </w:r>
    </w:p>
    <w:p w14:paraId="5F4E7600">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(5)乙方偿付的违约金不足以弥补甲方损失的，还应按甲方损失尚未弥补的部分，支付赔偿金给甲方。</w:t>
      </w:r>
    </w:p>
    <w:p w14:paraId="535CD89B">
      <w:pPr>
        <w:tabs>
          <w:tab w:val="left" w:pos="0"/>
        </w:tabs>
        <w:adjustRightInd w:val="0"/>
        <w:snapToGrid w:val="0"/>
        <w:spacing w:line="320" w:lineRule="exact"/>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 xml:space="preserve">十六、组成本合同的有关文件 </w:t>
      </w:r>
    </w:p>
    <w:p w14:paraId="15BA356D">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下列关于成都市技师学院</w:t>
      </w:r>
      <w:r>
        <w:rPr>
          <w:rStyle w:val="28"/>
          <w:rFonts w:hint="eastAsia" w:ascii="仿宋" w:hAnsi="仿宋" w:eastAsia="仿宋" w:cs="仿宋"/>
          <w:sz w:val="24"/>
          <w:szCs w:val="24"/>
        </w:rPr>
        <w:t>（成都工贸职业技术学院）</w:t>
      </w:r>
      <w:r>
        <w:rPr>
          <w:rFonts w:hint="eastAsia" w:ascii="仿宋" w:hAnsi="仿宋" w:eastAsia="仿宋" w:cs="仿宋"/>
          <w:snapToGrid w:val="0"/>
          <w:sz w:val="24"/>
          <w:szCs w:val="24"/>
          <w:lang w:eastAsia="zh-CN"/>
        </w:rPr>
        <w:t>2025</w:t>
      </w:r>
      <w:r>
        <w:rPr>
          <w:rFonts w:hint="eastAsia" w:ascii="仿宋" w:hAnsi="仿宋" w:eastAsia="仿宋" w:cs="仿宋"/>
          <w:snapToGrid w:val="0"/>
          <w:sz w:val="24"/>
          <w:szCs w:val="24"/>
        </w:rPr>
        <w:t>年</w:t>
      </w:r>
      <w:r>
        <w:rPr>
          <w:rFonts w:hint="eastAsia" w:ascii="仿宋" w:hAnsi="仿宋" w:eastAsia="仿宋" w:cs="仿宋"/>
          <w:i w:val="0"/>
          <w:iCs w:val="0"/>
          <w:caps w:val="0"/>
          <w:color w:val="333333"/>
          <w:spacing w:val="0"/>
          <w:sz w:val="24"/>
          <w:szCs w:val="24"/>
          <w:u w:val="single"/>
          <w:shd w:val="clear" w:fill="FFFFFF"/>
        </w:rPr>
        <w:t>电气教学实训耗材采购项目</w:t>
      </w:r>
      <w:r>
        <w:rPr>
          <w:rFonts w:hint="eastAsia" w:ascii="仿宋" w:hAnsi="仿宋" w:eastAsia="仿宋" w:cs="仿宋"/>
          <w:snapToGrid w:val="0"/>
          <w:sz w:val="24"/>
          <w:szCs w:val="24"/>
        </w:rPr>
        <w:t>(项目编号：XXXX)的询价通知书、乙方的响应文件或与本次采购活动方式相适应的文件及有关附件是本合同不可分割的组成部分，与本合同具有同等法律效力，这些文件包括但不限于：</w:t>
      </w:r>
    </w:p>
    <w:p w14:paraId="08158F4C">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1.甲方的询价通知书；</w:t>
      </w:r>
    </w:p>
    <w:p w14:paraId="14A7D4D3">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2.乙方的响应文件；</w:t>
      </w:r>
    </w:p>
    <w:p w14:paraId="7B212AA6">
      <w:pPr>
        <w:tabs>
          <w:tab w:val="left" w:pos="0"/>
        </w:tabs>
        <w:adjustRightInd w:val="0"/>
        <w:snapToGrid w:val="0"/>
        <w:spacing w:line="320" w:lineRule="exact"/>
        <w:ind w:firstLine="240" w:firstLineChars="100"/>
        <w:rPr>
          <w:rFonts w:hint="eastAsia" w:ascii="仿宋" w:hAnsi="仿宋" w:eastAsia="仿宋" w:cs="仿宋"/>
          <w:snapToGrid w:val="0"/>
          <w:sz w:val="24"/>
          <w:szCs w:val="24"/>
        </w:rPr>
      </w:pPr>
      <w:r>
        <w:rPr>
          <w:rFonts w:hint="eastAsia" w:ascii="仿宋" w:hAnsi="仿宋" w:eastAsia="仿宋" w:cs="仿宋"/>
          <w:snapToGrid w:val="0"/>
          <w:sz w:val="24"/>
          <w:szCs w:val="24"/>
        </w:rPr>
        <w:t>3.成交通知书；</w:t>
      </w:r>
    </w:p>
    <w:p w14:paraId="0EAA60E3">
      <w:pPr>
        <w:tabs>
          <w:tab w:val="left" w:pos="0"/>
        </w:tabs>
        <w:adjustRightInd w:val="0"/>
        <w:snapToGrid w:val="0"/>
        <w:spacing w:line="320" w:lineRule="exact"/>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十七、其他</w:t>
      </w:r>
    </w:p>
    <w:p w14:paraId="45CBCBB3">
      <w:pPr>
        <w:tabs>
          <w:tab w:val="left" w:pos="0"/>
        </w:tabs>
        <w:snapToGrid w:val="0"/>
        <w:spacing w:line="32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1.本合同自合同经双方法定代表人或授权代表签字并加盖单位章后生效。</w:t>
      </w:r>
    </w:p>
    <w:p w14:paraId="5FEB6B21">
      <w:pPr>
        <w:tabs>
          <w:tab w:val="left" w:pos="0"/>
        </w:tabs>
        <w:snapToGrid w:val="0"/>
        <w:spacing w:line="32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2.本合同一式六份，甲方五份，乙方一份，均具有同等法律效力。</w:t>
      </w:r>
    </w:p>
    <w:p w14:paraId="42ECF4AF">
      <w:pPr>
        <w:tabs>
          <w:tab w:val="left" w:pos="0"/>
        </w:tabs>
        <w:snapToGrid w:val="0"/>
        <w:spacing w:line="320" w:lineRule="exact"/>
        <w:ind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3.如有未尽事宜，由双方依法订立书面补充合同，补充合同与本合同具有同等法律效力。</w:t>
      </w:r>
    </w:p>
    <w:p w14:paraId="4FD4F83F">
      <w:pPr>
        <w:tabs>
          <w:tab w:val="left" w:pos="0"/>
        </w:tabs>
        <w:snapToGrid w:val="0"/>
        <w:spacing w:line="320" w:lineRule="exact"/>
        <w:ind w:firstLine="240" w:firstLineChars="100"/>
        <w:rPr>
          <w:rFonts w:hint="eastAsia" w:ascii="仿宋" w:hAnsi="仿宋" w:eastAsia="仿宋" w:cs="仿宋"/>
          <w:b/>
          <w:bCs/>
          <w:color w:val="auto"/>
          <w:sz w:val="24"/>
          <w:szCs w:val="24"/>
        </w:rPr>
      </w:pPr>
      <w:r>
        <w:rPr>
          <w:rFonts w:hint="eastAsia" w:ascii="仿宋" w:hAnsi="仿宋" w:eastAsia="仿宋" w:cs="仿宋"/>
          <w:color w:val="auto"/>
          <w:sz w:val="24"/>
          <w:szCs w:val="24"/>
        </w:rPr>
        <w:t>4.本合同应按照中华人民共和国的现行法律进行解释。</w:t>
      </w:r>
    </w:p>
    <w:p w14:paraId="4A8ED437">
      <w:pPr>
        <w:tabs>
          <w:tab w:val="left" w:pos="0"/>
        </w:tabs>
        <w:adjustRightInd w:val="0"/>
        <w:snapToGrid w:val="0"/>
        <w:spacing w:line="320" w:lineRule="exact"/>
        <w:ind w:firstLine="241" w:firstLineChars="100"/>
        <w:jc w:val="left"/>
        <w:rPr>
          <w:rFonts w:hint="eastAsia" w:ascii="仿宋" w:hAnsi="仿宋" w:eastAsia="仿宋" w:cs="仿宋"/>
          <w:b/>
          <w:bCs/>
          <w:sz w:val="24"/>
          <w:szCs w:val="24"/>
        </w:rPr>
      </w:pPr>
      <w:r>
        <w:rPr>
          <w:rFonts w:hint="eastAsia" w:ascii="仿宋" w:hAnsi="仿宋" w:eastAsia="仿宋" w:cs="仿宋"/>
          <w:b/>
          <w:bCs/>
          <w:sz w:val="24"/>
          <w:szCs w:val="24"/>
        </w:rPr>
        <w:t>(以下无正文)</w:t>
      </w:r>
    </w:p>
    <w:p w14:paraId="15FF752F">
      <w:pPr>
        <w:tabs>
          <w:tab w:val="left" w:pos="0"/>
        </w:tabs>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甲方：  （盖章）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乙方：   （盖章）</w:t>
      </w:r>
    </w:p>
    <w:p w14:paraId="394D2930">
      <w:pPr>
        <w:tabs>
          <w:tab w:val="left" w:pos="0"/>
        </w:tabs>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法定代表人（授权代表）：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法定代表人（授权代表）：</w:t>
      </w:r>
    </w:p>
    <w:p w14:paraId="457AAF4A">
      <w:pPr>
        <w:tabs>
          <w:tab w:val="left" w:pos="0"/>
        </w:tabs>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地    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地    址：</w:t>
      </w:r>
    </w:p>
    <w:p w14:paraId="6BAC2B67">
      <w:pPr>
        <w:tabs>
          <w:tab w:val="left" w:pos="0"/>
        </w:tabs>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开户银行：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开户银行：</w:t>
      </w:r>
    </w:p>
    <w:p w14:paraId="2118D495">
      <w:pPr>
        <w:tabs>
          <w:tab w:val="left" w:pos="0"/>
        </w:tabs>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账    号：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账    号：</w:t>
      </w:r>
    </w:p>
    <w:p w14:paraId="6884C5B7">
      <w:pPr>
        <w:tabs>
          <w:tab w:val="left" w:pos="0"/>
        </w:tabs>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电    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    话：</w:t>
      </w:r>
    </w:p>
    <w:p w14:paraId="4E856A5D">
      <w:pPr>
        <w:tabs>
          <w:tab w:val="left" w:pos="0"/>
        </w:tabs>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传    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传    真：</w:t>
      </w:r>
    </w:p>
    <w:p w14:paraId="5928B9F5">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sz w:val="24"/>
          <w:szCs w:val="24"/>
        </w:rPr>
        <w:t xml:space="preserve">邮    箱：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邮    箱：</w:t>
      </w:r>
    </w:p>
    <w:p w14:paraId="243EA796">
      <w:pPr>
        <w:keepNext w:val="0"/>
        <w:keepLines w:val="0"/>
        <w:pageBreakBefore w:val="0"/>
        <w:widowControl w:val="0"/>
        <w:kinsoku/>
        <w:wordWrap/>
        <w:overflowPunct/>
        <w:topLinePunct w:val="0"/>
        <w:autoSpaceDE/>
        <w:autoSpaceDN/>
        <w:bidi w:val="0"/>
        <w:snapToGrid w:val="0"/>
        <w:spacing w:line="276" w:lineRule="auto"/>
        <w:outlineLvl w:val="9"/>
        <w:rPr>
          <w:rFonts w:hint="eastAsia" w:ascii="仿宋" w:hAnsi="仿宋" w:eastAsia="仿宋" w:cs="仿宋"/>
          <w:b/>
          <w:sz w:val="24"/>
          <w:szCs w:val="24"/>
          <w:highlight w:val="none"/>
        </w:rPr>
      </w:pPr>
    </w:p>
    <w:sectPr>
      <w:headerReference r:id="rId6" w:type="default"/>
      <w:footerReference r:id="rId7" w:type="default"/>
      <w:pgSz w:w="11906" w:h="16838"/>
      <w:pgMar w:top="1440" w:right="1474" w:bottom="1440" w:left="1474" w:header="851" w:footer="992" w:gutter="0"/>
      <w:pgNumType w:fmt="decimal" w:start="2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A21AA">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AA13">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394B0E">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G9wcoBAACd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5xE24ocdzixC8/vl9+/r78+kaW&#10;1eomS9QHqDHzPmBuGt76AdNnP6AzMx9UtPmLnAjGUeDzVWA5JCLyo/Vqva4wJDA2XxCfPTwPEdI7&#10;6S3JRkMjTrAIy08fII2pc0qu5vydNqZM0bi/HIiZPSz3PvaYrTTsh4nQ3rdn5NPj8BvqcNcpMe8d&#10;apv3ZDbibOxn4xiiPnRlkXI9CG+OCZsoveUKI+xUGKdW2E0bltfi8b1kPfxV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gG9wcoBAACdAwAADgAAAAAAAAABACAAAAAeAQAAZHJzL2Uyb0Rv&#10;Yy54bWxQSwUGAAAAAAYABgBZAQAAWgUAAAAA&#10;">
              <v:fill on="f" focussize="0,0"/>
              <v:stroke on="f"/>
              <v:imagedata o:title=""/>
              <o:lock v:ext="edit" aspectratio="f"/>
              <v:textbox inset="0mm,0mm,0mm,0mm" style="mso-fit-shape-to-text:t;">
                <w:txbxContent>
                  <w:p w14:paraId="06394B0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FD60D">
    <w:pPr>
      <w:pStyle w:val="17"/>
      <w:pBdr>
        <w:bottom w:val="thinThickSmallGap" w:color="auto" w:sz="12" w:space="1"/>
      </w:pBdr>
      <w:spacing w:line="240" w:lineRule="auto"/>
      <w:jc w:val="left"/>
    </w:pPr>
    <w:r>
      <w:rPr>
        <w:rFonts w:hint="eastAsia"/>
      </w:rPr>
      <w:drawing>
        <wp:inline distT="0" distB="0" distL="114300" distR="114300">
          <wp:extent cx="1010920" cy="315595"/>
          <wp:effectExtent l="0" t="0" r="17780" b="8255"/>
          <wp:docPr id="5" name="图片 5"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11"/>
                  <pic:cNvPicPr>
                    <a:picLocks noChangeAspect="1"/>
                  </pic:cNvPicPr>
                </pic:nvPicPr>
                <pic:blipFill>
                  <a:blip r:embed="rId1"/>
                  <a:stretch>
                    <a:fillRect/>
                  </a:stretch>
                </pic:blipFill>
                <pic:spPr>
                  <a:xfrm>
                    <a:off x="0" y="0"/>
                    <a:ext cx="1010920" cy="315595"/>
                  </a:xfrm>
                  <a:prstGeom prst="rect">
                    <a:avLst/>
                  </a:prstGeom>
                </pic:spPr>
              </pic:pic>
            </a:graphicData>
          </a:graphic>
        </wp:inline>
      </w:drawing>
    </w:r>
    <w:r>
      <w:rPr>
        <w:rFonts w:hint="eastAsia"/>
      </w:rPr>
      <w:t xml:space="preserve">                                          </w:t>
    </w:r>
    <w:r>
      <w:rPr>
        <w:rFonts w:hint="eastAsia"/>
        <w:lang w:val="en-US" w:eastAsia="zh-CN"/>
      </w:rPr>
      <w:t xml:space="preserve">                       </w:t>
    </w:r>
    <w:r>
      <w:rPr>
        <w:rFonts w:hint="eastAsia" w:ascii="黑体" w:hAnsi="黑体" w:eastAsia="黑体" w:cs="黑体"/>
        <w:i/>
        <w:iCs/>
        <w:sz w:val="21"/>
        <w:szCs w:val="21"/>
        <w:vertAlign w:val="baseline"/>
      </w:rPr>
      <w:t>专业 诚信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263F3">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ABE43">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5"/>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5A4FD20"/>
    <w:multiLevelType w:val="singleLevel"/>
    <w:tmpl w:val="55A4FD20"/>
    <w:lvl w:ilvl="0" w:tentative="0">
      <w:start w:val="8"/>
      <w:numFmt w:val="chineseCounting"/>
      <w:suff w:val="nothing"/>
      <w:lvlText w:val="%1、"/>
      <w:lvlJc w:val="left"/>
      <w:rPr>
        <w:rFonts w:hint="eastAsia"/>
      </w:rPr>
    </w:lvl>
  </w:abstractNum>
  <w:abstractNum w:abstractNumId="3">
    <w:nsid w:val="59C07086"/>
    <w:multiLevelType w:val="singleLevel"/>
    <w:tmpl w:val="59C07086"/>
    <w:lvl w:ilvl="0" w:tentative="0">
      <w:start w:val="1"/>
      <w:numFmt w:val="decimal"/>
      <w:suff w:val="nothing"/>
      <w:lvlText w:val="%1、"/>
      <w:lvlJc w:val="left"/>
    </w:lvl>
  </w:abstractNum>
  <w:abstractNum w:abstractNumId="4">
    <w:nsid w:val="79578A8E"/>
    <w:multiLevelType w:val="singleLevel"/>
    <w:tmpl w:val="79578A8E"/>
    <w:lvl w:ilvl="0" w:tentative="0">
      <w:start w:val="1"/>
      <w:numFmt w:val="decimal"/>
      <w:lvlText w:val="%1"/>
      <w:lvlJc w:val="left"/>
      <w:pPr>
        <w:tabs>
          <w:tab w:val="left" w:pos="0"/>
        </w:tabs>
        <w:ind w:left="210" w:leftChars="0" w:firstLine="0" w:firstLineChars="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MDQ0M2E4NTM1ZmZmMjBmZTJmNjFkMTMyNGUzMWUifQ=="/>
  </w:docVars>
  <w:rsids>
    <w:rsidRoot w:val="00395B82"/>
    <w:rsid w:val="00000F09"/>
    <w:rsid w:val="0000294D"/>
    <w:rsid w:val="00002D7D"/>
    <w:rsid w:val="0000326C"/>
    <w:rsid w:val="00003C8D"/>
    <w:rsid w:val="0000437A"/>
    <w:rsid w:val="0000460C"/>
    <w:rsid w:val="00005029"/>
    <w:rsid w:val="000055D7"/>
    <w:rsid w:val="00006641"/>
    <w:rsid w:val="0000729B"/>
    <w:rsid w:val="000125A3"/>
    <w:rsid w:val="00012ACB"/>
    <w:rsid w:val="00012CA3"/>
    <w:rsid w:val="000142C6"/>
    <w:rsid w:val="0001514D"/>
    <w:rsid w:val="00015C9E"/>
    <w:rsid w:val="0001645F"/>
    <w:rsid w:val="00016BE5"/>
    <w:rsid w:val="00020274"/>
    <w:rsid w:val="0002234B"/>
    <w:rsid w:val="000223A5"/>
    <w:rsid w:val="00023923"/>
    <w:rsid w:val="00023F34"/>
    <w:rsid w:val="00024D02"/>
    <w:rsid w:val="0002570E"/>
    <w:rsid w:val="00025A2C"/>
    <w:rsid w:val="00026AEC"/>
    <w:rsid w:val="00031E88"/>
    <w:rsid w:val="000320AF"/>
    <w:rsid w:val="00032290"/>
    <w:rsid w:val="00032292"/>
    <w:rsid w:val="000327A6"/>
    <w:rsid w:val="0003456E"/>
    <w:rsid w:val="00034735"/>
    <w:rsid w:val="000349A7"/>
    <w:rsid w:val="000362A8"/>
    <w:rsid w:val="000409B7"/>
    <w:rsid w:val="0004415D"/>
    <w:rsid w:val="0004460A"/>
    <w:rsid w:val="00044A05"/>
    <w:rsid w:val="000453C3"/>
    <w:rsid w:val="000463A1"/>
    <w:rsid w:val="00046614"/>
    <w:rsid w:val="00047128"/>
    <w:rsid w:val="000501BF"/>
    <w:rsid w:val="00050823"/>
    <w:rsid w:val="00050B0E"/>
    <w:rsid w:val="00052CF4"/>
    <w:rsid w:val="000539C2"/>
    <w:rsid w:val="00054D18"/>
    <w:rsid w:val="000575ED"/>
    <w:rsid w:val="000617FB"/>
    <w:rsid w:val="00061D56"/>
    <w:rsid w:val="00064C0D"/>
    <w:rsid w:val="00065910"/>
    <w:rsid w:val="0006631E"/>
    <w:rsid w:val="000719D3"/>
    <w:rsid w:val="000722F3"/>
    <w:rsid w:val="00074E5F"/>
    <w:rsid w:val="00074E70"/>
    <w:rsid w:val="00075A68"/>
    <w:rsid w:val="0007602D"/>
    <w:rsid w:val="00076F76"/>
    <w:rsid w:val="00080C18"/>
    <w:rsid w:val="00081311"/>
    <w:rsid w:val="000824DF"/>
    <w:rsid w:val="00082F05"/>
    <w:rsid w:val="00085077"/>
    <w:rsid w:val="0008513F"/>
    <w:rsid w:val="00085906"/>
    <w:rsid w:val="00086AFC"/>
    <w:rsid w:val="00086CAF"/>
    <w:rsid w:val="00090932"/>
    <w:rsid w:val="00091107"/>
    <w:rsid w:val="00091E28"/>
    <w:rsid w:val="0009379E"/>
    <w:rsid w:val="000952E7"/>
    <w:rsid w:val="000962BB"/>
    <w:rsid w:val="00096D52"/>
    <w:rsid w:val="000A07DD"/>
    <w:rsid w:val="000A23FB"/>
    <w:rsid w:val="000A2983"/>
    <w:rsid w:val="000A3B01"/>
    <w:rsid w:val="000A520D"/>
    <w:rsid w:val="000A7399"/>
    <w:rsid w:val="000A7C22"/>
    <w:rsid w:val="000B121A"/>
    <w:rsid w:val="000B1900"/>
    <w:rsid w:val="000B1A07"/>
    <w:rsid w:val="000B1BAD"/>
    <w:rsid w:val="000B2D2F"/>
    <w:rsid w:val="000B30AC"/>
    <w:rsid w:val="000B4ABA"/>
    <w:rsid w:val="000B514F"/>
    <w:rsid w:val="000B5C56"/>
    <w:rsid w:val="000B701D"/>
    <w:rsid w:val="000B706E"/>
    <w:rsid w:val="000C1D58"/>
    <w:rsid w:val="000C3178"/>
    <w:rsid w:val="000C39F6"/>
    <w:rsid w:val="000C3CC4"/>
    <w:rsid w:val="000C682B"/>
    <w:rsid w:val="000C762E"/>
    <w:rsid w:val="000D06BE"/>
    <w:rsid w:val="000D1259"/>
    <w:rsid w:val="000D3414"/>
    <w:rsid w:val="000D3C33"/>
    <w:rsid w:val="000D4862"/>
    <w:rsid w:val="000D4DB5"/>
    <w:rsid w:val="000D61F1"/>
    <w:rsid w:val="000E09DC"/>
    <w:rsid w:val="000E0B4D"/>
    <w:rsid w:val="000E4206"/>
    <w:rsid w:val="000E430D"/>
    <w:rsid w:val="000E4E09"/>
    <w:rsid w:val="000E5D85"/>
    <w:rsid w:val="000F29AF"/>
    <w:rsid w:val="000F3A22"/>
    <w:rsid w:val="000F4AA2"/>
    <w:rsid w:val="000F5EEE"/>
    <w:rsid w:val="000F6473"/>
    <w:rsid w:val="000F6568"/>
    <w:rsid w:val="0010437E"/>
    <w:rsid w:val="00106EB4"/>
    <w:rsid w:val="00107760"/>
    <w:rsid w:val="00116205"/>
    <w:rsid w:val="00116A6A"/>
    <w:rsid w:val="00117182"/>
    <w:rsid w:val="001172B2"/>
    <w:rsid w:val="00120A2B"/>
    <w:rsid w:val="00120CD5"/>
    <w:rsid w:val="00121BC5"/>
    <w:rsid w:val="00122640"/>
    <w:rsid w:val="00122C1C"/>
    <w:rsid w:val="001263CE"/>
    <w:rsid w:val="00126B09"/>
    <w:rsid w:val="00126C4F"/>
    <w:rsid w:val="00130E24"/>
    <w:rsid w:val="00131A90"/>
    <w:rsid w:val="001326C5"/>
    <w:rsid w:val="001378CC"/>
    <w:rsid w:val="00142627"/>
    <w:rsid w:val="00144B6A"/>
    <w:rsid w:val="0014559B"/>
    <w:rsid w:val="00145D0C"/>
    <w:rsid w:val="001466CF"/>
    <w:rsid w:val="00146D53"/>
    <w:rsid w:val="00146EC3"/>
    <w:rsid w:val="00147805"/>
    <w:rsid w:val="00150907"/>
    <w:rsid w:val="00150F25"/>
    <w:rsid w:val="00153F5F"/>
    <w:rsid w:val="00154D03"/>
    <w:rsid w:val="001558C2"/>
    <w:rsid w:val="001563C8"/>
    <w:rsid w:val="0015687B"/>
    <w:rsid w:val="00156AC5"/>
    <w:rsid w:val="001603FE"/>
    <w:rsid w:val="00160F67"/>
    <w:rsid w:val="00162123"/>
    <w:rsid w:val="001630F8"/>
    <w:rsid w:val="00163DDD"/>
    <w:rsid w:val="0016551D"/>
    <w:rsid w:val="00166CCD"/>
    <w:rsid w:val="001713AE"/>
    <w:rsid w:val="001713FA"/>
    <w:rsid w:val="00172B16"/>
    <w:rsid w:val="001730EB"/>
    <w:rsid w:val="001740D6"/>
    <w:rsid w:val="00175722"/>
    <w:rsid w:val="001765E5"/>
    <w:rsid w:val="0017730C"/>
    <w:rsid w:val="00177E10"/>
    <w:rsid w:val="00180DCC"/>
    <w:rsid w:val="001848FA"/>
    <w:rsid w:val="00187589"/>
    <w:rsid w:val="00190515"/>
    <w:rsid w:val="00190B0D"/>
    <w:rsid w:val="00192C3C"/>
    <w:rsid w:val="0019328C"/>
    <w:rsid w:val="00194900"/>
    <w:rsid w:val="00197D3B"/>
    <w:rsid w:val="001A0190"/>
    <w:rsid w:val="001A07C3"/>
    <w:rsid w:val="001A1379"/>
    <w:rsid w:val="001A30D7"/>
    <w:rsid w:val="001A36A4"/>
    <w:rsid w:val="001A6079"/>
    <w:rsid w:val="001A7963"/>
    <w:rsid w:val="001B05CC"/>
    <w:rsid w:val="001B0968"/>
    <w:rsid w:val="001B19CE"/>
    <w:rsid w:val="001B1B7B"/>
    <w:rsid w:val="001B41E1"/>
    <w:rsid w:val="001B4A38"/>
    <w:rsid w:val="001B6C07"/>
    <w:rsid w:val="001B7A82"/>
    <w:rsid w:val="001C0578"/>
    <w:rsid w:val="001C0AD8"/>
    <w:rsid w:val="001C22B4"/>
    <w:rsid w:val="001C341F"/>
    <w:rsid w:val="001C6D3E"/>
    <w:rsid w:val="001C7074"/>
    <w:rsid w:val="001C746A"/>
    <w:rsid w:val="001D08CC"/>
    <w:rsid w:val="001D0E48"/>
    <w:rsid w:val="001D114D"/>
    <w:rsid w:val="001D12E7"/>
    <w:rsid w:val="001D2601"/>
    <w:rsid w:val="001D33D1"/>
    <w:rsid w:val="001E0335"/>
    <w:rsid w:val="001E0707"/>
    <w:rsid w:val="001E167B"/>
    <w:rsid w:val="001E2124"/>
    <w:rsid w:val="001E21ED"/>
    <w:rsid w:val="001E363C"/>
    <w:rsid w:val="001E4BF2"/>
    <w:rsid w:val="001E503A"/>
    <w:rsid w:val="001F1AEC"/>
    <w:rsid w:val="001F1F72"/>
    <w:rsid w:val="001F2723"/>
    <w:rsid w:val="001F3510"/>
    <w:rsid w:val="001F427C"/>
    <w:rsid w:val="001F55CC"/>
    <w:rsid w:val="001F5695"/>
    <w:rsid w:val="001F7C50"/>
    <w:rsid w:val="00200028"/>
    <w:rsid w:val="0020013F"/>
    <w:rsid w:val="00200ADF"/>
    <w:rsid w:val="00201D1A"/>
    <w:rsid w:val="00203146"/>
    <w:rsid w:val="0020432F"/>
    <w:rsid w:val="002054A3"/>
    <w:rsid w:val="00206BC1"/>
    <w:rsid w:val="00207630"/>
    <w:rsid w:val="00210F1A"/>
    <w:rsid w:val="002111D6"/>
    <w:rsid w:val="002119FD"/>
    <w:rsid w:val="00212C10"/>
    <w:rsid w:val="00212F31"/>
    <w:rsid w:val="002146F1"/>
    <w:rsid w:val="0021604E"/>
    <w:rsid w:val="002177B6"/>
    <w:rsid w:val="00220A18"/>
    <w:rsid w:val="00220BC7"/>
    <w:rsid w:val="0022178C"/>
    <w:rsid w:val="00222388"/>
    <w:rsid w:val="002259B8"/>
    <w:rsid w:val="00227D47"/>
    <w:rsid w:val="0023061B"/>
    <w:rsid w:val="00230E18"/>
    <w:rsid w:val="00230F89"/>
    <w:rsid w:val="002325AA"/>
    <w:rsid w:val="002364C0"/>
    <w:rsid w:val="0023665A"/>
    <w:rsid w:val="00237EA0"/>
    <w:rsid w:val="00243670"/>
    <w:rsid w:val="0024548A"/>
    <w:rsid w:val="002469EF"/>
    <w:rsid w:val="00247CF0"/>
    <w:rsid w:val="00247F3B"/>
    <w:rsid w:val="00250355"/>
    <w:rsid w:val="00251864"/>
    <w:rsid w:val="00253233"/>
    <w:rsid w:val="0025339F"/>
    <w:rsid w:val="0025786A"/>
    <w:rsid w:val="002603B1"/>
    <w:rsid w:val="00260CE8"/>
    <w:rsid w:val="002627A8"/>
    <w:rsid w:val="0026301F"/>
    <w:rsid w:val="002632F1"/>
    <w:rsid w:val="00264D1E"/>
    <w:rsid w:val="00265126"/>
    <w:rsid w:val="00265951"/>
    <w:rsid w:val="00271DBA"/>
    <w:rsid w:val="00272AB3"/>
    <w:rsid w:val="00274519"/>
    <w:rsid w:val="002751A1"/>
    <w:rsid w:val="00275DEE"/>
    <w:rsid w:val="00276104"/>
    <w:rsid w:val="002773A7"/>
    <w:rsid w:val="00277655"/>
    <w:rsid w:val="00277828"/>
    <w:rsid w:val="002806F7"/>
    <w:rsid w:val="00281418"/>
    <w:rsid w:val="002825E2"/>
    <w:rsid w:val="00283EBA"/>
    <w:rsid w:val="0028455D"/>
    <w:rsid w:val="00284BE3"/>
    <w:rsid w:val="00287AA5"/>
    <w:rsid w:val="002903D5"/>
    <w:rsid w:val="00291416"/>
    <w:rsid w:val="00291770"/>
    <w:rsid w:val="0029276D"/>
    <w:rsid w:val="002942F5"/>
    <w:rsid w:val="00294671"/>
    <w:rsid w:val="00296C77"/>
    <w:rsid w:val="002A0DA3"/>
    <w:rsid w:val="002A1EFF"/>
    <w:rsid w:val="002A3688"/>
    <w:rsid w:val="002A45A6"/>
    <w:rsid w:val="002A66F1"/>
    <w:rsid w:val="002A69B8"/>
    <w:rsid w:val="002A69C0"/>
    <w:rsid w:val="002A7375"/>
    <w:rsid w:val="002B0C2E"/>
    <w:rsid w:val="002B161D"/>
    <w:rsid w:val="002B2F89"/>
    <w:rsid w:val="002B3390"/>
    <w:rsid w:val="002B55AA"/>
    <w:rsid w:val="002B66B4"/>
    <w:rsid w:val="002B6C57"/>
    <w:rsid w:val="002C0A73"/>
    <w:rsid w:val="002C0B03"/>
    <w:rsid w:val="002C0DE4"/>
    <w:rsid w:val="002C1507"/>
    <w:rsid w:val="002C2748"/>
    <w:rsid w:val="002C3C13"/>
    <w:rsid w:val="002C3DD6"/>
    <w:rsid w:val="002C46AE"/>
    <w:rsid w:val="002C4F1F"/>
    <w:rsid w:val="002C57B5"/>
    <w:rsid w:val="002C6211"/>
    <w:rsid w:val="002D190B"/>
    <w:rsid w:val="002D28D3"/>
    <w:rsid w:val="002D463C"/>
    <w:rsid w:val="002D5F11"/>
    <w:rsid w:val="002D7123"/>
    <w:rsid w:val="002D728D"/>
    <w:rsid w:val="002D784B"/>
    <w:rsid w:val="002E1222"/>
    <w:rsid w:val="002E14CC"/>
    <w:rsid w:val="002E185A"/>
    <w:rsid w:val="002E3629"/>
    <w:rsid w:val="002E6A7E"/>
    <w:rsid w:val="002F32C5"/>
    <w:rsid w:val="002F5152"/>
    <w:rsid w:val="00302D5E"/>
    <w:rsid w:val="003056DE"/>
    <w:rsid w:val="00307B6C"/>
    <w:rsid w:val="00307FC8"/>
    <w:rsid w:val="00311658"/>
    <w:rsid w:val="00314457"/>
    <w:rsid w:val="00314AD4"/>
    <w:rsid w:val="003151F1"/>
    <w:rsid w:val="00321511"/>
    <w:rsid w:val="00322022"/>
    <w:rsid w:val="003222A1"/>
    <w:rsid w:val="00324C4F"/>
    <w:rsid w:val="00325ECC"/>
    <w:rsid w:val="003260F5"/>
    <w:rsid w:val="00326677"/>
    <w:rsid w:val="00326697"/>
    <w:rsid w:val="00326BAB"/>
    <w:rsid w:val="00326EA8"/>
    <w:rsid w:val="003276F4"/>
    <w:rsid w:val="0033133D"/>
    <w:rsid w:val="003315C8"/>
    <w:rsid w:val="00332786"/>
    <w:rsid w:val="003327EC"/>
    <w:rsid w:val="00333295"/>
    <w:rsid w:val="00334116"/>
    <w:rsid w:val="003341EE"/>
    <w:rsid w:val="003348F2"/>
    <w:rsid w:val="003367F3"/>
    <w:rsid w:val="00337D66"/>
    <w:rsid w:val="003425E5"/>
    <w:rsid w:val="0034366D"/>
    <w:rsid w:val="00344F2F"/>
    <w:rsid w:val="0034549E"/>
    <w:rsid w:val="00350B3F"/>
    <w:rsid w:val="00350DB7"/>
    <w:rsid w:val="00352F21"/>
    <w:rsid w:val="00354D2E"/>
    <w:rsid w:val="0035638A"/>
    <w:rsid w:val="00360EB7"/>
    <w:rsid w:val="0036351A"/>
    <w:rsid w:val="00363597"/>
    <w:rsid w:val="00363AB9"/>
    <w:rsid w:val="0036483B"/>
    <w:rsid w:val="003654F0"/>
    <w:rsid w:val="003654FA"/>
    <w:rsid w:val="00372F53"/>
    <w:rsid w:val="003738D5"/>
    <w:rsid w:val="00373D79"/>
    <w:rsid w:val="00374F3D"/>
    <w:rsid w:val="00375177"/>
    <w:rsid w:val="00375C15"/>
    <w:rsid w:val="00376418"/>
    <w:rsid w:val="00376523"/>
    <w:rsid w:val="00376E0E"/>
    <w:rsid w:val="0037722E"/>
    <w:rsid w:val="0037774F"/>
    <w:rsid w:val="00380191"/>
    <w:rsid w:val="00380412"/>
    <w:rsid w:val="00381DEE"/>
    <w:rsid w:val="0038332A"/>
    <w:rsid w:val="003856F7"/>
    <w:rsid w:val="00385C1E"/>
    <w:rsid w:val="00387163"/>
    <w:rsid w:val="00387795"/>
    <w:rsid w:val="003900CA"/>
    <w:rsid w:val="003905A7"/>
    <w:rsid w:val="00390669"/>
    <w:rsid w:val="0039101F"/>
    <w:rsid w:val="00391C8D"/>
    <w:rsid w:val="00392398"/>
    <w:rsid w:val="00392C59"/>
    <w:rsid w:val="003957A3"/>
    <w:rsid w:val="00395863"/>
    <w:rsid w:val="00395B82"/>
    <w:rsid w:val="003976FD"/>
    <w:rsid w:val="003A06E0"/>
    <w:rsid w:val="003A0945"/>
    <w:rsid w:val="003A0FDD"/>
    <w:rsid w:val="003A1A54"/>
    <w:rsid w:val="003A1F84"/>
    <w:rsid w:val="003A2082"/>
    <w:rsid w:val="003A2B0C"/>
    <w:rsid w:val="003A4C78"/>
    <w:rsid w:val="003A4CB6"/>
    <w:rsid w:val="003A55DE"/>
    <w:rsid w:val="003A6A91"/>
    <w:rsid w:val="003A766B"/>
    <w:rsid w:val="003A775C"/>
    <w:rsid w:val="003B16FE"/>
    <w:rsid w:val="003B1E7E"/>
    <w:rsid w:val="003B2D70"/>
    <w:rsid w:val="003B2EFE"/>
    <w:rsid w:val="003B383C"/>
    <w:rsid w:val="003B3B47"/>
    <w:rsid w:val="003B4587"/>
    <w:rsid w:val="003B5011"/>
    <w:rsid w:val="003B6770"/>
    <w:rsid w:val="003B7711"/>
    <w:rsid w:val="003C001F"/>
    <w:rsid w:val="003C05DD"/>
    <w:rsid w:val="003C1492"/>
    <w:rsid w:val="003C14A3"/>
    <w:rsid w:val="003C2A88"/>
    <w:rsid w:val="003C2E71"/>
    <w:rsid w:val="003C3D30"/>
    <w:rsid w:val="003C4368"/>
    <w:rsid w:val="003C44EA"/>
    <w:rsid w:val="003C5E4F"/>
    <w:rsid w:val="003C79FF"/>
    <w:rsid w:val="003D019A"/>
    <w:rsid w:val="003D0A88"/>
    <w:rsid w:val="003D6DF3"/>
    <w:rsid w:val="003E099D"/>
    <w:rsid w:val="003E0AA3"/>
    <w:rsid w:val="003E0BFF"/>
    <w:rsid w:val="003E0FFC"/>
    <w:rsid w:val="003E2232"/>
    <w:rsid w:val="003E2F72"/>
    <w:rsid w:val="003E30BC"/>
    <w:rsid w:val="003E4CFE"/>
    <w:rsid w:val="003E4FF1"/>
    <w:rsid w:val="003E5B38"/>
    <w:rsid w:val="003E5D76"/>
    <w:rsid w:val="003E5F7E"/>
    <w:rsid w:val="003E66D3"/>
    <w:rsid w:val="003E73BA"/>
    <w:rsid w:val="003E7C71"/>
    <w:rsid w:val="003E7F02"/>
    <w:rsid w:val="003F1A12"/>
    <w:rsid w:val="003F2E5D"/>
    <w:rsid w:val="003F32C5"/>
    <w:rsid w:val="003F4B0F"/>
    <w:rsid w:val="003F5777"/>
    <w:rsid w:val="003F6751"/>
    <w:rsid w:val="003F7339"/>
    <w:rsid w:val="003F79C0"/>
    <w:rsid w:val="003F7E34"/>
    <w:rsid w:val="003F7EAA"/>
    <w:rsid w:val="00400013"/>
    <w:rsid w:val="00401051"/>
    <w:rsid w:val="00404228"/>
    <w:rsid w:val="00404774"/>
    <w:rsid w:val="004050F5"/>
    <w:rsid w:val="004055ED"/>
    <w:rsid w:val="0040674A"/>
    <w:rsid w:val="0040747F"/>
    <w:rsid w:val="00407DBB"/>
    <w:rsid w:val="00410D4A"/>
    <w:rsid w:val="0041117A"/>
    <w:rsid w:val="00411DAD"/>
    <w:rsid w:val="00411EF4"/>
    <w:rsid w:val="00413E76"/>
    <w:rsid w:val="00413F95"/>
    <w:rsid w:val="0041420E"/>
    <w:rsid w:val="00415C2F"/>
    <w:rsid w:val="004167AA"/>
    <w:rsid w:val="00416B83"/>
    <w:rsid w:val="004171A4"/>
    <w:rsid w:val="00422325"/>
    <w:rsid w:val="00422333"/>
    <w:rsid w:val="0042273F"/>
    <w:rsid w:val="00424992"/>
    <w:rsid w:val="00425A2E"/>
    <w:rsid w:val="00425F66"/>
    <w:rsid w:val="00426030"/>
    <w:rsid w:val="00426CD2"/>
    <w:rsid w:val="00426D43"/>
    <w:rsid w:val="00427624"/>
    <w:rsid w:val="00427EE7"/>
    <w:rsid w:val="00430DED"/>
    <w:rsid w:val="0043192D"/>
    <w:rsid w:val="0043459F"/>
    <w:rsid w:val="00440A0E"/>
    <w:rsid w:val="00441A20"/>
    <w:rsid w:val="00441B5F"/>
    <w:rsid w:val="00442294"/>
    <w:rsid w:val="004438F8"/>
    <w:rsid w:val="00444839"/>
    <w:rsid w:val="004453C9"/>
    <w:rsid w:val="004457D2"/>
    <w:rsid w:val="004501D2"/>
    <w:rsid w:val="00450940"/>
    <w:rsid w:val="004517BB"/>
    <w:rsid w:val="0045294C"/>
    <w:rsid w:val="00453C8E"/>
    <w:rsid w:val="00454A40"/>
    <w:rsid w:val="00454A96"/>
    <w:rsid w:val="00455A65"/>
    <w:rsid w:val="004602FB"/>
    <w:rsid w:val="004611A3"/>
    <w:rsid w:val="004617E5"/>
    <w:rsid w:val="00462E61"/>
    <w:rsid w:val="0046385C"/>
    <w:rsid w:val="00463AFC"/>
    <w:rsid w:val="00466BDC"/>
    <w:rsid w:val="004676ED"/>
    <w:rsid w:val="00467C19"/>
    <w:rsid w:val="00470F2A"/>
    <w:rsid w:val="004715AE"/>
    <w:rsid w:val="004730DC"/>
    <w:rsid w:val="0047423F"/>
    <w:rsid w:val="00480011"/>
    <w:rsid w:val="00480780"/>
    <w:rsid w:val="00480DBF"/>
    <w:rsid w:val="00481C97"/>
    <w:rsid w:val="00482B73"/>
    <w:rsid w:val="004833FA"/>
    <w:rsid w:val="004836B1"/>
    <w:rsid w:val="00484B23"/>
    <w:rsid w:val="00485CB0"/>
    <w:rsid w:val="004871BC"/>
    <w:rsid w:val="004871EF"/>
    <w:rsid w:val="004879C5"/>
    <w:rsid w:val="00487B21"/>
    <w:rsid w:val="0049434E"/>
    <w:rsid w:val="00494987"/>
    <w:rsid w:val="00494C5B"/>
    <w:rsid w:val="00494EA8"/>
    <w:rsid w:val="00494F00"/>
    <w:rsid w:val="004952AB"/>
    <w:rsid w:val="00497AA7"/>
    <w:rsid w:val="004A114D"/>
    <w:rsid w:val="004A32F7"/>
    <w:rsid w:val="004A5558"/>
    <w:rsid w:val="004A5C33"/>
    <w:rsid w:val="004A7AF8"/>
    <w:rsid w:val="004B045A"/>
    <w:rsid w:val="004B3732"/>
    <w:rsid w:val="004B412D"/>
    <w:rsid w:val="004B4BAA"/>
    <w:rsid w:val="004B4EDC"/>
    <w:rsid w:val="004B5710"/>
    <w:rsid w:val="004B7800"/>
    <w:rsid w:val="004C0FDF"/>
    <w:rsid w:val="004C0FF6"/>
    <w:rsid w:val="004C2AEB"/>
    <w:rsid w:val="004C380B"/>
    <w:rsid w:val="004C59AE"/>
    <w:rsid w:val="004C7331"/>
    <w:rsid w:val="004D0A95"/>
    <w:rsid w:val="004D37AB"/>
    <w:rsid w:val="004E21B7"/>
    <w:rsid w:val="004E2457"/>
    <w:rsid w:val="004E2CFF"/>
    <w:rsid w:val="004E3B52"/>
    <w:rsid w:val="004E5FB3"/>
    <w:rsid w:val="004E628E"/>
    <w:rsid w:val="004E66F6"/>
    <w:rsid w:val="004E7CFD"/>
    <w:rsid w:val="004F09B9"/>
    <w:rsid w:val="004F0B40"/>
    <w:rsid w:val="004F5A2D"/>
    <w:rsid w:val="004F5B49"/>
    <w:rsid w:val="004F6213"/>
    <w:rsid w:val="0050046B"/>
    <w:rsid w:val="00500A50"/>
    <w:rsid w:val="005024C8"/>
    <w:rsid w:val="005051B9"/>
    <w:rsid w:val="005056F0"/>
    <w:rsid w:val="00506D94"/>
    <w:rsid w:val="00507292"/>
    <w:rsid w:val="0051005A"/>
    <w:rsid w:val="005111E9"/>
    <w:rsid w:val="0051586B"/>
    <w:rsid w:val="00517436"/>
    <w:rsid w:val="0051761F"/>
    <w:rsid w:val="00517669"/>
    <w:rsid w:val="00520F1B"/>
    <w:rsid w:val="00522607"/>
    <w:rsid w:val="00523CA6"/>
    <w:rsid w:val="005242B1"/>
    <w:rsid w:val="005255CC"/>
    <w:rsid w:val="00525B56"/>
    <w:rsid w:val="00525CEB"/>
    <w:rsid w:val="00526541"/>
    <w:rsid w:val="00526CF7"/>
    <w:rsid w:val="00527E88"/>
    <w:rsid w:val="00530277"/>
    <w:rsid w:val="00532FEC"/>
    <w:rsid w:val="00533400"/>
    <w:rsid w:val="005335DA"/>
    <w:rsid w:val="00533DC1"/>
    <w:rsid w:val="005369E8"/>
    <w:rsid w:val="0054108A"/>
    <w:rsid w:val="00542F2C"/>
    <w:rsid w:val="00543D41"/>
    <w:rsid w:val="00544557"/>
    <w:rsid w:val="00544A01"/>
    <w:rsid w:val="0054533F"/>
    <w:rsid w:val="00546FDB"/>
    <w:rsid w:val="0054715F"/>
    <w:rsid w:val="0054745A"/>
    <w:rsid w:val="00547557"/>
    <w:rsid w:val="0054783F"/>
    <w:rsid w:val="0055217C"/>
    <w:rsid w:val="00552848"/>
    <w:rsid w:val="00553AA7"/>
    <w:rsid w:val="0055497C"/>
    <w:rsid w:val="00554C7D"/>
    <w:rsid w:val="00554CB3"/>
    <w:rsid w:val="005555B7"/>
    <w:rsid w:val="005560A3"/>
    <w:rsid w:val="005565ED"/>
    <w:rsid w:val="00557F4D"/>
    <w:rsid w:val="0056019E"/>
    <w:rsid w:val="005623E0"/>
    <w:rsid w:val="00562786"/>
    <w:rsid w:val="005627D6"/>
    <w:rsid w:val="00562B68"/>
    <w:rsid w:val="00563194"/>
    <w:rsid w:val="00565A4C"/>
    <w:rsid w:val="00566314"/>
    <w:rsid w:val="00567D7A"/>
    <w:rsid w:val="005706EC"/>
    <w:rsid w:val="00570883"/>
    <w:rsid w:val="00571AE8"/>
    <w:rsid w:val="00571BEE"/>
    <w:rsid w:val="00572858"/>
    <w:rsid w:val="00572E7C"/>
    <w:rsid w:val="005748E5"/>
    <w:rsid w:val="00576162"/>
    <w:rsid w:val="005762A0"/>
    <w:rsid w:val="0058146E"/>
    <w:rsid w:val="0058780D"/>
    <w:rsid w:val="005920C7"/>
    <w:rsid w:val="00592712"/>
    <w:rsid w:val="00594D66"/>
    <w:rsid w:val="00597E92"/>
    <w:rsid w:val="005A01E6"/>
    <w:rsid w:val="005A126C"/>
    <w:rsid w:val="005A144F"/>
    <w:rsid w:val="005A1AD3"/>
    <w:rsid w:val="005A206B"/>
    <w:rsid w:val="005A3109"/>
    <w:rsid w:val="005A3FBB"/>
    <w:rsid w:val="005A4EF9"/>
    <w:rsid w:val="005A6A02"/>
    <w:rsid w:val="005B07D2"/>
    <w:rsid w:val="005B260D"/>
    <w:rsid w:val="005B34FD"/>
    <w:rsid w:val="005B414E"/>
    <w:rsid w:val="005B47AE"/>
    <w:rsid w:val="005B6083"/>
    <w:rsid w:val="005C0BF3"/>
    <w:rsid w:val="005C140F"/>
    <w:rsid w:val="005C1D36"/>
    <w:rsid w:val="005C1E3D"/>
    <w:rsid w:val="005C2170"/>
    <w:rsid w:val="005C29C9"/>
    <w:rsid w:val="005C3DA6"/>
    <w:rsid w:val="005C55E5"/>
    <w:rsid w:val="005C6E9B"/>
    <w:rsid w:val="005D074C"/>
    <w:rsid w:val="005D132A"/>
    <w:rsid w:val="005D1AEF"/>
    <w:rsid w:val="005D63C2"/>
    <w:rsid w:val="005D7AA0"/>
    <w:rsid w:val="005E0646"/>
    <w:rsid w:val="005E1A9E"/>
    <w:rsid w:val="005E3382"/>
    <w:rsid w:val="005E3DC5"/>
    <w:rsid w:val="005E428F"/>
    <w:rsid w:val="005E42C4"/>
    <w:rsid w:val="005E4E6A"/>
    <w:rsid w:val="005E509C"/>
    <w:rsid w:val="005E6988"/>
    <w:rsid w:val="005E72AA"/>
    <w:rsid w:val="005E7981"/>
    <w:rsid w:val="005E7B8B"/>
    <w:rsid w:val="005F0781"/>
    <w:rsid w:val="005F1E9D"/>
    <w:rsid w:val="005F410A"/>
    <w:rsid w:val="005F466B"/>
    <w:rsid w:val="005F5FD9"/>
    <w:rsid w:val="005F773B"/>
    <w:rsid w:val="00600B1F"/>
    <w:rsid w:val="006015C0"/>
    <w:rsid w:val="006021D3"/>
    <w:rsid w:val="006023C8"/>
    <w:rsid w:val="00602E14"/>
    <w:rsid w:val="00603303"/>
    <w:rsid w:val="0060511E"/>
    <w:rsid w:val="006057A5"/>
    <w:rsid w:val="006115CB"/>
    <w:rsid w:val="00612A0D"/>
    <w:rsid w:val="00612F92"/>
    <w:rsid w:val="00614AA2"/>
    <w:rsid w:val="00617E58"/>
    <w:rsid w:val="00621569"/>
    <w:rsid w:val="00621769"/>
    <w:rsid w:val="00622A3C"/>
    <w:rsid w:val="0062308A"/>
    <w:rsid w:val="00623249"/>
    <w:rsid w:val="0062351D"/>
    <w:rsid w:val="00624214"/>
    <w:rsid w:val="00624422"/>
    <w:rsid w:val="00624F83"/>
    <w:rsid w:val="006270A3"/>
    <w:rsid w:val="00627979"/>
    <w:rsid w:val="006279BF"/>
    <w:rsid w:val="00627CA3"/>
    <w:rsid w:val="006309C9"/>
    <w:rsid w:val="00630C79"/>
    <w:rsid w:val="00632FD0"/>
    <w:rsid w:val="00633BB4"/>
    <w:rsid w:val="00634399"/>
    <w:rsid w:val="006347EF"/>
    <w:rsid w:val="00636867"/>
    <w:rsid w:val="006405BD"/>
    <w:rsid w:val="00641292"/>
    <w:rsid w:val="006418C4"/>
    <w:rsid w:val="0064330E"/>
    <w:rsid w:val="006450D4"/>
    <w:rsid w:val="00645898"/>
    <w:rsid w:val="0064617C"/>
    <w:rsid w:val="0064635C"/>
    <w:rsid w:val="0064695A"/>
    <w:rsid w:val="00651054"/>
    <w:rsid w:val="00651A05"/>
    <w:rsid w:val="006530E7"/>
    <w:rsid w:val="00655E2B"/>
    <w:rsid w:val="006560DB"/>
    <w:rsid w:val="00656B22"/>
    <w:rsid w:val="006571BD"/>
    <w:rsid w:val="00660E8F"/>
    <w:rsid w:val="00662161"/>
    <w:rsid w:val="006623AD"/>
    <w:rsid w:val="006627C2"/>
    <w:rsid w:val="00664350"/>
    <w:rsid w:val="0066520F"/>
    <w:rsid w:val="00665326"/>
    <w:rsid w:val="00666063"/>
    <w:rsid w:val="00667533"/>
    <w:rsid w:val="00667FE0"/>
    <w:rsid w:val="00670F4D"/>
    <w:rsid w:val="00671095"/>
    <w:rsid w:val="0067279D"/>
    <w:rsid w:val="006739F8"/>
    <w:rsid w:val="0067592A"/>
    <w:rsid w:val="00675A37"/>
    <w:rsid w:val="00675A39"/>
    <w:rsid w:val="00676A57"/>
    <w:rsid w:val="006778DA"/>
    <w:rsid w:val="006818D5"/>
    <w:rsid w:val="006820CE"/>
    <w:rsid w:val="00682C04"/>
    <w:rsid w:val="00683F49"/>
    <w:rsid w:val="00684596"/>
    <w:rsid w:val="00684730"/>
    <w:rsid w:val="006849FC"/>
    <w:rsid w:val="00684E05"/>
    <w:rsid w:val="00685289"/>
    <w:rsid w:val="00685975"/>
    <w:rsid w:val="006859D5"/>
    <w:rsid w:val="00686287"/>
    <w:rsid w:val="006906DE"/>
    <w:rsid w:val="00690C28"/>
    <w:rsid w:val="00691D5C"/>
    <w:rsid w:val="00692C3A"/>
    <w:rsid w:val="00693515"/>
    <w:rsid w:val="0069510C"/>
    <w:rsid w:val="00695CE3"/>
    <w:rsid w:val="006966C3"/>
    <w:rsid w:val="006979CB"/>
    <w:rsid w:val="006A1AE5"/>
    <w:rsid w:val="006A451C"/>
    <w:rsid w:val="006A6750"/>
    <w:rsid w:val="006A77A5"/>
    <w:rsid w:val="006B001B"/>
    <w:rsid w:val="006B105E"/>
    <w:rsid w:val="006B15CF"/>
    <w:rsid w:val="006B27EE"/>
    <w:rsid w:val="006B2F50"/>
    <w:rsid w:val="006B4B16"/>
    <w:rsid w:val="006B4B1F"/>
    <w:rsid w:val="006B58CC"/>
    <w:rsid w:val="006B5BF4"/>
    <w:rsid w:val="006B6A62"/>
    <w:rsid w:val="006C07A5"/>
    <w:rsid w:val="006C36D5"/>
    <w:rsid w:val="006C3964"/>
    <w:rsid w:val="006C3E72"/>
    <w:rsid w:val="006C598B"/>
    <w:rsid w:val="006C5BE9"/>
    <w:rsid w:val="006C71EC"/>
    <w:rsid w:val="006D12E1"/>
    <w:rsid w:val="006D18C8"/>
    <w:rsid w:val="006D28B5"/>
    <w:rsid w:val="006D4564"/>
    <w:rsid w:val="006D47AB"/>
    <w:rsid w:val="006D48B7"/>
    <w:rsid w:val="006D55BF"/>
    <w:rsid w:val="006D61B3"/>
    <w:rsid w:val="006E0636"/>
    <w:rsid w:val="006E06ED"/>
    <w:rsid w:val="006E0DD9"/>
    <w:rsid w:val="006E509D"/>
    <w:rsid w:val="006E51D7"/>
    <w:rsid w:val="006E5633"/>
    <w:rsid w:val="006E5BA6"/>
    <w:rsid w:val="006E5E4A"/>
    <w:rsid w:val="006E6C70"/>
    <w:rsid w:val="006E7611"/>
    <w:rsid w:val="006E78D9"/>
    <w:rsid w:val="006F36E4"/>
    <w:rsid w:val="006F3752"/>
    <w:rsid w:val="006F4626"/>
    <w:rsid w:val="006F5BFE"/>
    <w:rsid w:val="006F6239"/>
    <w:rsid w:val="006F6589"/>
    <w:rsid w:val="006F70A9"/>
    <w:rsid w:val="007002C3"/>
    <w:rsid w:val="007010A3"/>
    <w:rsid w:val="00702450"/>
    <w:rsid w:val="0070268D"/>
    <w:rsid w:val="00702AEF"/>
    <w:rsid w:val="007039FA"/>
    <w:rsid w:val="00703A39"/>
    <w:rsid w:val="00704301"/>
    <w:rsid w:val="0070633E"/>
    <w:rsid w:val="0070693C"/>
    <w:rsid w:val="007070B3"/>
    <w:rsid w:val="00707801"/>
    <w:rsid w:val="0071303D"/>
    <w:rsid w:val="007138A3"/>
    <w:rsid w:val="00713C61"/>
    <w:rsid w:val="0071507D"/>
    <w:rsid w:val="0071682A"/>
    <w:rsid w:val="00716994"/>
    <w:rsid w:val="007172C4"/>
    <w:rsid w:val="0071769F"/>
    <w:rsid w:val="007176A2"/>
    <w:rsid w:val="00717E64"/>
    <w:rsid w:val="00720DB9"/>
    <w:rsid w:val="007214BE"/>
    <w:rsid w:val="00721878"/>
    <w:rsid w:val="00721E8D"/>
    <w:rsid w:val="00724893"/>
    <w:rsid w:val="007259B0"/>
    <w:rsid w:val="00730573"/>
    <w:rsid w:val="00732349"/>
    <w:rsid w:val="00733AA7"/>
    <w:rsid w:val="00735E12"/>
    <w:rsid w:val="00736F24"/>
    <w:rsid w:val="00737C12"/>
    <w:rsid w:val="007411CE"/>
    <w:rsid w:val="00744375"/>
    <w:rsid w:val="00745812"/>
    <w:rsid w:val="0075124E"/>
    <w:rsid w:val="00751ADF"/>
    <w:rsid w:val="00751F25"/>
    <w:rsid w:val="00752C25"/>
    <w:rsid w:val="00752DC2"/>
    <w:rsid w:val="0075400E"/>
    <w:rsid w:val="0075529F"/>
    <w:rsid w:val="0075784D"/>
    <w:rsid w:val="0076718A"/>
    <w:rsid w:val="007726E1"/>
    <w:rsid w:val="00773E5C"/>
    <w:rsid w:val="00775515"/>
    <w:rsid w:val="00776152"/>
    <w:rsid w:val="00777020"/>
    <w:rsid w:val="00777F6E"/>
    <w:rsid w:val="00777FB2"/>
    <w:rsid w:val="00780E81"/>
    <w:rsid w:val="0078103F"/>
    <w:rsid w:val="007813E5"/>
    <w:rsid w:val="00781E98"/>
    <w:rsid w:val="00782533"/>
    <w:rsid w:val="00782638"/>
    <w:rsid w:val="00783F4C"/>
    <w:rsid w:val="00785642"/>
    <w:rsid w:val="007870DB"/>
    <w:rsid w:val="00790711"/>
    <w:rsid w:val="00790C05"/>
    <w:rsid w:val="00790CC5"/>
    <w:rsid w:val="00791310"/>
    <w:rsid w:val="00793768"/>
    <w:rsid w:val="0079420E"/>
    <w:rsid w:val="00796DF2"/>
    <w:rsid w:val="007A0CE5"/>
    <w:rsid w:val="007A296F"/>
    <w:rsid w:val="007A3744"/>
    <w:rsid w:val="007A38BD"/>
    <w:rsid w:val="007A46AB"/>
    <w:rsid w:val="007A53BD"/>
    <w:rsid w:val="007A5A09"/>
    <w:rsid w:val="007A6DE0"/>
    <w:rsid w:val="007A71DA"/>
    <w:rsid w:val="007B1316"/>
    <w:rsid w:val="007B20DF"/>
    <w:rsid w:val="007B2599"/>
    <w:rsid w:val="007B3E2F"/>
    <w:rsid w:val="007B4815"/>
    <w:rsid w:val="007B55C4"/>
    <w:rsid w:val="007B6AB5"/>
    <w:rsid w:val="007C1243"/>
    <w:rsid w:val="007C192A"/>
    <w:rsid w:val="007C19A5"/>
    <w:rsid w:val="007C2100"/>
    <w:rsid w:val="007C27AF"/>
    <w:rsid w:val="007C36F2"/>
    <w:rsid w:val="007C588E"/>
    <w:rsid w:val="007C6F6A"/>
    <w:rsid w:val="007D2047"/>
    <w:rsid w:val="007D4AFC"/>
    <w:rsid w:val="007D6997"/>
    <w:rsid w:val="007D69BB"/>
    <w:rsid w:val="007E0F8F"/>
    <w:rsid w:val="007E1FA2"/>
    <w:rsid w:val="007E2E1D"/>
    <w:rsid w:val="007E4CFB"/>
    <w:rsid w:val="007E5AF9"/>
    <w:rsid w:val="007E5DDC"/>
    <w:rsid w:val="007E6444"/>
    <w:rsid w:val="007E72CC"/>
    <w:rsid w:val="007E7411"/>
    <w:rsid w:val="007E7CE7"/>
    <w:rsid w:val="007F1D6C"/>
    <w:rsid w:val="007F1E58"/>
    <w:rsid w:val="007F3401"/>
    <w:rsid w:val="007F4B79"/>
    <w:rsid w:val="007F764A"/>
    <w:rsid w:val="00800545"/>
    <w:rsid w:val="00800F5F"/>
    <w:rsid w:val="00801841"/>
    <w:rsid w:val="0080204A"/>
    <w:rsid w:val="00803D1B"/>
    <w:rsid w:val="00804FCE"/>
    <w:rsid w:val="00806A68"/>
    <w:rsid w:val="00806E90"/>
    <w:rsid w:val="00810142"/>
    <w:rsid w:val="0081037C"/>
    <w:rsid w:val="0081056C"/>
    <w:rsid w:val="00812AE9"/>
    <w:rsid w:val="00814154"/>
    <w:rsid w:val="00814AAC"/>
    <w:rsid w:val="008170F6"/>
    <w:rsid w:val="008200E8"/>
    <w:rsid w:val="00820D7F"/>
    <w:rsid w:val="00821CB2"/>
    <w:rsid w:val="00822E6F"/>
    <w:rsid w:val="008261A5"/>
    <w:rsid w:val="0083377D"/>
    <w:rsid w:val="00834961"/>
    <w:rsid w:val="00835F76"/>
    <w:rsid w:val="00840DCC"/>
    <w:rsid w:val="00840F02"/>
    <w:rsid w:val="0084136A"/>
    <w:rsid w:val="00842F7C"/>
    <w:rsid w:val="00847F70"/>
    <w:rsid w:val="00853441"/>
    <w:rsid w:val="00853E9C"/>
    <w:rsid w:val="00855685"/>
    <w:rsid w:val="008558D0"/>
    <w:rsid w:val="00855BEB"/>
    <w:rsid w:val="008634B6"/>
    <w:rsid w:val="008656CD"/>
    <w:rsid w:val="00865A66"/>
    <w:rsid w:val="0086711D"/>
    <w:rsid w:val="00867A60"/>
    <w:rsid w:val="008716DA"/>
    <w:rsid w:val="00871E32"/>
    <w:rsid w:val="00873657"/>
    <w:rsid w:val="00874079"/>
    <w:rsid w:val="00875951"/>
    <w:rsid w:val="00876CD3"/>
    <w:rsid w:val="00877215"/>
    <w:rsid w:val="008777B1"/>
    <w:rsid w:val="008838AE"/>
    <w:rsid w:val="00883952"/>
    <w:rsid w:val="008848BB"/>
    <w:rsid w:val="008849AA"/>
    <w:rsid w:val="0088596B"/>
    <w:rsid w:val="00886160"/>
    <w:rsid w:val="00890456"/>
    <w:rsid w:val="00890537"/>
    <w:rsid w:val="00890D2A"/>
    <w:rsid w:val="00892901"/>
    <w:rsid w:val="00892ACB"/>
    <w:rsid w:val="00892BE2"/>
    <w:rsid w:val="00893447"/>
    <w:rsid w:val="0089459C"/>
    <w:rsid w:val="00894FEA"/>
    <w:rsid w:val="0089596C"/>
    <w:rsid w:val="00895FF1"/>
    <w:rsid w:val="00896311"/>
    <w:rsid w:val="008A44A1"/>
    <w:rsid w:val="008A5BA4"/>
    <w:rsid w:val="008A6A7F"/>
    <w:rsid w:val="008A743E"/>
    <w:rsid w:val="008A78F2"/>
    <w:rsid w:val="008B4CF9"/>
    <w:rsid w:val="008B556A"/>
    <w:rsid w:val="008B5C97"/>
    <w:rsid w:val="008B607C"/>
    <w:rsid w:val="008B65A5"/>
    <w:rsid w:val="008B6A63"/>
    <w:rsid w:val="008B6EED"/>
    <w:rsid w:val="008B7A91"/>
    <w:rsid w:val="008C008F"/>
    <w:rsid w:val="008C00FE"/>
    <w:rsid w:val="008C063D"/>
    <w:rsid w:val="008C07ED"/>
    <w:rsid w:val="008C1BD6"/>
    <w:rsid w:val="008C51B7"/>
    <w:rsid w:val="008C5A14"/>
    <w:rsid w:val="008C5B88"/>
    <w:rsid w:val="008C721C"/>
    <w:rsid w:val="008D0D91"/>
    <w:rsid w:val="008D2857"/>
    <w:rsid w:val="008D337C"/>
    <w:rsid w:val="008D3916"/>
    <w:rsid w:val="008D41A5"/>
    <w:rsid w:val="008D4BFE"/>
    <w:rsid w:val="008D59FA"/>
    <w:rsid w:val="008D63D9"/>
    <w:rsid w:val="008D6801"/>
    <w:rsid w:val="008D6979"/>
    <w:rsid w:val="008D7AB0"/>
    <w:rsid w:val="008D7BE7"/>
    <w:rsid w:val="008E0505"/>
    <w:rsid w:val="008E1599"/>
    <w:rsid w:val="008E196B"/>
    <w:rsid w:val="008E1A41"/>
    <w:rsid w:val="008E1B01"/>
    <w:rsid w:val="008E3643"/>
    <w:rsid w:val="008F2BB9"/>
    <w:rsid w:val="008F584E"/>
    <w:rsid w:val="009010FD"/>
    <w:rsid w:val="00901E9E"/>
    <w:rsid w:val="00902E34"/>
    <w:rsid w:val="00902F1A"/>
    <w:rsid w:val="00905228"/>
    <w:rsid w:val="009059E6"/>
    <w:rsid w:val="00906646"/>
    <w:rsid w:val="00906ED0"/>
    <w:rsid w:val="0090760F"/>
    <w:rsid w:val="0091090E"/>
    <w:rsid w:val="009116F4"/>
    <w:rsid w:val="009123D8"/>
    <w:rsid w:val="00912692"/>
    <w:rsid w:val="0091358D"/>
    <w:rsid w:val="00917823"/>
    <w:rsid w:val="00917C4C"/>
    <w:rsid w:val="00917C56"/>
    <w:rsid w:val="009208BF"/>
    <w:rsid w:val="00921376"/>
    <w:rsid w:val="009223C6"/>
    <w:rsid w:val="009240A9"/>
    <w:rsid w:val="009252BC"/>
    <w:rsid w:val="009266E6"/>
    <w:rsid w:val="009268E8"/>
    <w:rsid w:val="00926BB1"/>
    <w:rsid w:val="00931A73"/>
    <w:rsid w:val="00934C9E"/>
    <w:rsid w:val="00940EB0"/>
    <w:rsid w:val="00941475"/>
    <w:rsid w:val="00943D17"/>
    <w:rsid w:val="0094682D"/>
    <w:rsid w:val="009469B5"/>
    <w:rsid w:val="00946A14"/>
    <w:rsid w:val="009505A9"/>
    <w:rsid w:val="00950943"/>
    <w:rsid w:val="009513C0"/>
    <w:rsid w:val="00951AE5"/>
    <w:rsid w:val="009543DE"/>
    <w:rsid w:val="00955A60"/>
    <w:rsid w:val="009565DD"/>
    <w:rsid w:val="00956D06"/>
    <w:rsid w:val="009570E4"/>
    <w:rsid w:val="009571FA"/>
    <w:rsid w:val="009602E2"/>
    <w:rsid w:val="0096144B"/>
    <w:rsid w:val="00962258"/>
    <w:rsid w:val="0096502C"/>
    <w:rsid w:val="00965048"/>
    <w:rsid w:val="0097000F"/>
    <w:rsid w:val="00970F4C"/>
    <w:rsid w:val="0097136F"/>
    <w:rsid w:val="00971E3C"/>
    <w:rsid w:val="00971E7E"/>
    <w:rsid w:val="00972392"/>
    <w:rsid w:val="009727FC"/>
    <w:rsid w:val="009737D3"/>
    <w:rsid w:val="00973837"/>
    <w:rsid w:val="009739FE"/>
    <w:rsid w:val="00975AC6"/>
    <w:rsid w:val="00982F96"/>
    <w:rsid w:val="00983E52"/>
    <w:rsid w:val="009844ED"/>
    <w:rsid w:val="009846BB"/>
    <w:rsid w:val="0098492A"/>
    <w:rsid w:val="0098557D"/>
    <w:rsid w:val="00987AF6"/>
    <w:rsid w:val="00990A80"/>
    <w:rsid w:val="00991A38"/>
    <w:rsid w:val="0099306C"/>
    <w:rsid w:val="0099321A"/>
    <w:rsid w:val="00994FBB"/>
    <w:rsid w:val="009951D7"/>
    <w:rsid w:val="00997C13"/>
    <w:rsid w:val="009A112E"/>
    <w:rsid w:val="009A31D1"/>
    <w:rsid w:val="009A4A42"/>
    <w:rsid w:val="009A4E04"/>
    <w:rsid w:val="009A5969"/>
    <w:rsid w:val="009A6B2C"/>
    <w:rsid w:val="009A7492"/>
    <w:rsid w:val="009B1365"/>
    <w:rsid w:val="009B1B1C"/>
    <w:rsid w:val="009B1C54"/>
    <w:rsid w:val="009B2A96"/>
    <w:rsid w:val="009B36BD"/>
    <w:rsid w:val="009B3F8E"/>
    <w:rsid w:val="009B4F6F"/>
    <w:rsid w:val="009B5BA3"/>
    <w:rsid w:val="009B6264"/>
    <w:rsid w:val="009B642B"/>
    <w:rsid w:val="009B69B9"/>
    <w:rsid w:val="009B6DA5"/>
    <w:rsid w:val="009C0500"/>
    <w:rsid w:val="009C1147"/>
    <w:rsid w:val="009C1796"/>
    <w:rsid w:val="009C2055"/>
    <w:rsid w:val="009C38BD"/>
    <w:rsid w:val="009C3DBF"/>
    <w:rsid w:val="009C51AE"/>
    <w:rsid w:val="009C6675"/>
    <w:rsid w:val="009C679D"/>
    <w:rsid w:val="009D125E"/>
    <w:rsid w:val="009D1418"/>
    <w:rsid w:val="009D145F"/>
    <w:rsid w:val="009D1E6A"/>
    <w:rsid w:val="009D1ED2"/>
    <w:rsid w:val="009D33E3"/>
    <w:rsid w:val="009D5FB8"/>
    <w:rsid w:val="009D76F4"/>
    <w:rsid w:val="009E006F"/>
    <w:rsid w:val="009E04BA"/>
    <w:rsid w:val="009E0C41"/>
    <w:rsid w:val="009E1758"/>
    <w:rsid w:val="009E1A06"/>
    <w:rsid w:val="009E1F69"/>
    <w:rsid w:val="009E5C17"/>
    <w:rsid w:val="009E6B9C"/>
    <w:rsid w:val="009E70CE"/>
    <w:rsid w:val="009F00C2"/>
    <w:rsid w:val="009F0523"/>
    <w:rsid w:val="009F079A"/>
    <w:rsid w:val="009F0B8C"/>
    <w:rsid w:val="009F2366"/>
    <w:rsid w:val="009F2A72"/>
    <w:rsid w:val="009F2CEF"/>
    <w:rsid w:val="009F584F"/>
    <w:rsid w:val="009F64FD"/>
    <w:rsid w:val="009F7072"/>
    <w:rsid w:val="00A0195C"/>
    <w:rsid w:val="00A01BCE"/>
    <w:rsid w:val="00A02B3F"/>
    <w:rsid w:val="00A03E64"/>
    <w:rsid w:val="00A04863"/>
    <w:rsid w:val="00A04DE7"/>
    <w:rsid w:val="00A052A2"/>
    <w:rsid w:val="00A0538D"/>
    <w:rsid w:val="00A06C65"/>
    <w:rsid w:val="00A075E6"/>
    <w:rsid w:val="00A077F0"/>
    <w:rsid w:val="00A105C0"/>
    <w:rsid w:val="00A10643"/>
    <w:rsid w:val="00A1115F"/>
    <w:rsid w:val="00A1148F"/>
    <w:rsid w:val="00A11C23"/>
    <w:rsid w:val="00A12798"/>
    <w:rsid w:val="00A1361D"/>
    <w:rsid w:val="00A13797"/>
    <w:rsid w:val="00A15F38"/>
    <w:rsid w:val="00A1609E"/>
    <w:rsid w:val="00A16E24"/>
    <w:rsid w:val="00A175A1"/>
    <w:rsid w:val="00A2145C"/>
    <w:rsid w:val="00A2331F"/>
    <w:rsid w:val="00A23339"/>
    <w:rsid w:val="00A23395"/>
    <w:rsid w:val="00A23FCD"/>
    <w:rsid w:val="00A2480F"/>
    <w:rsid w:val="00A24F7B"/>
    <w:rsid w:val="00A26852"/>
    <w:rsid w:val="00A277FC"/>
    <w:rsid w:val="00A30186"/>
    <w:rsid w:val="00A30BBD"/>
    <w:rsid w:val="00A3218C"/>
    <w:rsid w:val="00A327CC"/>
    <w:rsid w:val="00A34B63"/>
    <w:rsid w:val="00A35DEB"/>
    <w:rsid w:val="00A370EC"/>
    <w:rsid w:val="00A37488"/>
    <w:rsid w:val="00A41820"/>
    <w:rsid w:val="00A41BCC"/>
    <w:rsid w:val="00A422AD"/>
    <w:rsid w:val="00A4427E"/>
    <w:rsid w:val="00A44E3F"/>
    <w:rsid w:val="00A4713B"/>
    <w:rsid w:val="00A4782F"/>
    <w:rsid w:val="00A50295"/>
    <w:rsid w:val="00A50363"/>
    <w:rsid w:val="00A50D05"/>
    <w:rsid w:val="00A5140C"/>
    <w:rsid w:val="00A51C44"/>
    <w:rsid w:val="00A529F7"/>
    <w:rsid w:val="00A533FC"/>
    <w:rsid w:val="00A5750D"/>
    <w:rsid w:val="00A57CC9"/>
    <w:rsid w:val="00A57FE7"/>
    <w:rsid w:val="00A601DB"/>
    <w:rsid w:val="00A610DC"/>
    <w:rsid w:val="00A61687"/>
    <w:rsid w:val="00A61C2B"/>
    <w:rsid w:val="00A62E31"/>
    <w:rsid w:val="00A63E82"/>
    <w:rsid w:val="00A64AA0"/>
    <w:rsid w:val="00A64EDC"/>
    <w:rsid w:val="00A6781C"/>
    <w:rsid w:val="00A67D0E"/>
    <w:rsid w:val="00A706BC"/>
    <w:rsid w:val="00A70CED"/>
    <w:rsid w:val="00A70D76"/>
    <w:rsid w:val="00A71B7A"/>
    <w:rsid w:val="00A722F6"/>
    <w:rsid w:val="00A72B90"/>
    <w:rsid w:val="00A75229"/>
    <w:rsid w:val="00A77278"/>
    <w:rsid w:val="00A77A86"/>
    <w:rsid w:val="00A77F6C"/>
    <w:rsid w:val="00A8321D"/>
    <w:rsid w:val="00A8401F"/>
    <w:rsid w:val="00A8538A"/>
    <w:rsid w:val="00A857C7"/>
    <w:rsid w:val="00A86535"/>
    <w:rsid w:val="00A86BBC"/>
    <w:rsid w:val="00A87529"/>
    <w:rsid w:val="00A87CB0"/>
    <w:rsid w:val="00A90403"/>
    <w:rsid w:val="00A94326"/>
    <w:rsid w:val="00A94646"/>
    <w:rsid w:val="00A953D2"/>
    <w:rsid w:val="00A957A6"/>
    <w:rsid w:val="00A95831"/>
    <w:rsid w:val="00A958A1"/>
    <w:rsid w:val="00A95DB0"/>
    <w:rsid w:val="00A96333"/>
    <w:rsid w:val="00A97104"/>
    <w:rsid w:val="00A97BD7"/>
    <w:rsid w:val="00A97D00"/>
    <w:rsid w:val="00AA09E6"/>
    <w:rsid w:val="00AA0C37"/>
    <w:rsid w:val="00AA1337"/>
    <w:rsid w:val="00AA2BA6"/>
    <w:rsid w:val="00AB0B88"/>
    <w:rsid w:val="00AB23EF"/>
    <w:rsid w:val="00AC0692"/>
    <w:rsid w:val="00AC18C9"/>
    <w:rsid w:val="00AC2DD2"/>
    <w:rsid w:val="00AC461A"/>
    <w:rsid w:val="00AC4F8B"/>
    <w:rsid w:val="00AC60C2"/>
    <w:rsid w:val="00AD074F"/>
    <w:rsid w:val="00AD126F"/>
    <w:rsid w:val="00AD2400"/>
    <w:rsid w:val="00AD2DA6"/>
    <w:rsid w:val="00AD2DB1"/>
    <w:rsid w:val="00AD4B77"/>
    <w:rsid w:val="00AD4FCF"/>
    <w:rsid w:val="00AD5AF6"/>
    <w:rsid w:val="00AD6C1D"/>
    <w:rsid w:val="00AD749F"/>
    <w:rsid w:val="00AE14C0"/>
    <w:rsid w:val="00AE1FAA"/>
    <w:rsid w:val="00AE21F7"/>
    <w:rsid w:val="00AE23CA"/>
    <w:rsid w:val="00AE295E"/>
    <w:rsid w:val="00AE3DC9"/>
    <w:rsid w:val="00AE4238"/>
    <w:rsid w:val="00AE7F10"/>
    <w:rsid w:val="00AF0220"/>
    <w:rsid w:val="00AF1355"/>
    <w:rsid w:val="00AF1684"/>
    <w:rsid w:val="00AF19F9"/>
    <w:rsid w:val="00AF2280"/>
    <w:rsid w:val="00AF3A34"/>
    <w:rsid w:val="00AF4125"/>
    <w:rsid w:val="00AF534B"/>
    <w:rsid w:val="00AF54AF"/>
    <w:rsid w:val="00AF67A8"/>
    <w:rsid w:val="00AF7F73"/>
    <w:rsid w:val="00B00295"/>
    <w:rsid w:val="00B012D5"/>
    <w:rsid w:val="00B016CB"/>
    <w:rsid w:val="00B104BE"/>
    <w:rsid w:val="00B10555"/>
    <w:rsid w:val="00B11879"/>
    <w:rsid w:val="00B12D88"/>
    <w:rsid w:val="00B130DE"/>
    <w:rsid w:val="00B14D22"/>
    <w:rsid w:val="00B16098"/>
    <w:rsid w:val="00B161A1"/>
    <w:rsid w:val="00B173E9"/>
    <w:rsid w:val="00B17F68"/>
    <w:rsid w:val="00B204E9"/>
    <w:rsid w:val="00B21108"/>
    <w:rsid w:val="00B21716"/>
    <w:rsid w:val="00B22207"/>
    <w:rsid w:val="00B231A3"/>
    <w:rsid w:val="00B231E9"/>
    <w:rsid w:val="00B257D7"/>
    <w:rsid w:val="00B30E99"/>
    <w:rsid w:val="00B31759"/>
    <w:rsid w:val="00B32310"/>
    <w:rsid w:val="00B34354"/>
    <w:rsid w:val="00B35C07"/>
    <w:rsid w:val="00B36CAF"/>
    <w:rsid w:val="00B36E16"/>
    <w:rsid w:val="00B37074"/>
    <w:rsid w:val="00B373A0"/>
    <w:rsid w:val="00B37521"/>
    <w:rsid w:val="00B379BE"/>
    <w:rsid w:val="00B413BF"/>
    <w:rsid w:val="00B4144E"/>
    <w:rsid w:val="00B41D35"/>
    <w:rsid w:val="00B43A32"/>
    <w:rsid w:val="00B44452"/>
    <w:rsid w:val="00B44806"/>
    <w:rsid w:val="00B46E82"/>
    <w:rsid w:val="00B47B1C"/>
    <w:rsid w:val="00B47ED5"/>
    <w:rsid w:val="00B50283"/>
    <w:rsid w:val="00B507F6"/>
    <w:rsid w:val="00B50C5C"/>
    <w:rsid w:val="00B50EAC"/>
    <w:rsid w:val="00B515D7"/>
    <w:rsid w:val="00B5251F"/>
    <w:rsid w:val="00B572C0"/>
    <w:rsid w:val="00B57F95"/>
    <w:rsid w:val="00B60494"/>
    <w:rsid w:val="00B61833"/>
    <w:rsid w:val="00B618C1"/>
    <w:rsid w:val="00B61B0D"/>
    <w:rsid w:val="00B628D2"/>
    <w:rsid w:val="00B6341C"/>
    <w:rsid w:val="00B64462"/>
    <w:rsid w:val="00B644C3"/>
    <w:rsid w:val="00B6481C"/>
    <w:rsid w:val="00B65593"/>
    <w:rsid w:val="00B65900"/>
    <w:rsid w:val="00B66780"/>
    <w:rsid w:val="00B6704C"/>
    <w:rsid w:val="00B70A84"/>
    <w:rsid w:val="00B73240"/>
    <w:rsid w:val="00B75A5C"/>
    <w:rsid w:val="00B77D00"/>
    <w:rsid w:val="00B80767"/>
    <w:rsid w:val="00B8081D"/>
    <w:rsid w:val="00B80922"/>
    <w:rsid w:val="00B80E5C"/>
    <w:rsid w:val="00B80F30"/>
    <w:rsid w:val="00B821D3"/>
    <w:rsid w:val="00B82FA3"/>
    <w:rsid w:val="00B83962"/>
    <w:rsid w:val="00B83E13"/>
    <w:rsid w:val="00B8405D"/>
    <w:rsid w:val="00B84E01"/>
    <w:rsid w:val="00B8597B"/>
    <w:rsid w:val="00B85F52"/>
    <w:rsid w:val="00B87B68"/>
    <w:rsid w:val="00B90FAA"/>
    <w:rsid w:val="00B9228C"/>
    <w:rsid w:val="00B9231F"/>
    <w:rsid w:val="00B92E49"/>
    <w:rsid w:val="00B936F7"/>
    <w:rsid w:val="00B96973"/>
    <w:rsid w:val="00B96AD1"/>
    <w:rsid w:val="00B97D78"/>
    <w:rsid w:val="00BA092F"/>
    <w:rsid w:val="00BA11D4"/>
    <w:rsid w:val="00BA156B"/>
    <w:rsid w:val="00BA2381"/>
    <w:rsid w:val="00BA3AF0"/>
    <w:rsid w:val="00BA596D"/>
    <w:rsid w:val="00BA68D6"/>
    <w:rsid w:val="00BB1973"/>
    <w:rsid w:val="00BB1D0E"/>
    <w:rsid w:val="00BB2D6E"/>
    <w:rsid w:val="00BB3C08"/>
    <w:rsid w:val="00BB444A"/>
    <w:rsid w:val="00BB5292"/>
    <w:rsid w:val="00BB54DB"/>
    <w:rsid w:val="00BB6954"/>
    <w:rsid w:val="00BB7652"/>
    <w:rsid w:val="00BB7A6B"/>
    <w:rsid w:val="00BC0846"/>
    <w:rsid w:val="00BC11FE"/>
    <w:rsid w:val="00BC2AAC"/>
    <w:rsid w:val="00BC4FB9"/>
    <w:rsid w:val="00BC5C06"/>
    <w:rsid w:val="00BC6410"/>
    <w:rsid w:val="00BC687D"/>
    <w:rsid w:val="00BC7492"/>
    <w:rsid w:val="00BD0329"/>
    <w:rsid w:val="00BD0A8F"/>
    <w:rsid w:val="00BD2224"/>
    <w:rsid w:val="00BD2980"/>
    <w:rsid w:val="00BD333B"/>
    <w:rsid w:val="00BD3FA7"/>
    <w:rsid w:val="00BD46D3"/>
    <w:rsid w:val="00BD49F5"/>
    <w:rsid w:val="00BD6259"/>
    <w:rsid w:val="00BE03D5"/>
    <w:rsid w:val="00BE16A9"/>
    <w:rsid w:val="00BE2636"/>
    <w:rsid w:val="00BE4B2B"/>
    <w:rsid w:val="00BE598C"/>
    <w:rsid w:val="00BE5BB7"/>
    <w:rsid w:val="00BE6C45"/>
    <w:rsid w:val="00BE70EB"/>
    <w:rsid w:val="00BF1A99"/>
    <w:rsid w:val="00BF2803"/>
    <w:rsid w:val="00BF2C69"/>
    <w:rsid w:val="00BF467F"/>
    <w:rsid w:val="00BF46C3"/>
    <w:rsid w:val="00BF6745"/>
    <w:rsid w:val="00BF76E5"/>
    <w:rsid w:val="00C02861"/>
    <w:rsid w:val="00C02E85"/>
    <w:rsid w:val="00C03FBB"/>
    <w:rsid w:val="00C0723B"/>
    <w:rsid w:val="00C07BCE"/>
    <w:rsid w:val="00C10BB4"/>
    <w:rsid w:val="00C10F5E"/>
    <w:rsid w:val="00C11F01"/>
    <w:rsid w:val="00C12CD8"/>
    <w:rsid w:val="00C12F66"/>
    <w:rsid w:val="00C140CD"/>
    <w:rsid w:val="00C1641C"/>
    <w:rsid w:val="00C17D0D"/>
    <w:rsid w:val="00C21BE2"/>
    <w:rsid w:val="00C21C74"/>
    <w:rsid w:val="00C22582"/>
    <w:rsid w:val="00C22906"/>
    <w:rsid w:val="00C23FCB"/>
    <w:rsid w:val="00C241D9"/>
    <w:rsid w:val="00C25144"/>
    <w:rsid w:val="00C255DB"/>
    <w:rsid w:val="00C2614F"/>
    <w:rsid w:val="00C263C5"/>
    <w:rsid w:val="00C309AD"/>
    <w:rsid w:val="00C335DB"/>
    <w:rsid w:val="00C3384D"/>
    <w:rsid w:val="00C34AEA"/>
    <w:rsid w:val="00C35B6C"/>
    <w:rsid w:val="00C36809"/>
    <w:rsid w:val="00C3682C"/>
    <w:rsid w:val="00C37F74"/>
    <w:rsid w:val="00C418B4"/>
    <w:rsid w:val="00C42994"/>
    <w:rsid w:val="00C435B1"/>
    <w:rsid w:val="00C43919"/>
    <w:rsid w:val="00C43D4C"/>
    <w:rsid w:val="00C4580C"/>
    <w:rsid w:val="00C479E5"/>
    <w:rsid w:val="00C50766"/>
    <w:rsid w:val="00C53773"/>
    <w:rsid w:val="00C54821"/>
    <w:rsid w:val="00C5482A"/>
    <w:rsid w:val="00C54AAB"/>
    <w:rsid w:val="00C5709E"/>
    <w:rsid w:val="00C57DF3"/>
    <w:rsid w:val="00C60D9A"/>
    <w:rsid w:val="00C60FC9"/>
    <w:rsid w:val="00C6161A"/>
    <w:rsid w:val="00C61775"/>
    <w:rsid w:val="00C618EB"/>
    <w:rsid w:val="00C62143"/>
    <w:rsid w:val="00C62209"/>
    <w:rsid w:val="00C633F9"/>
    <w:rsid w:val="00C6398A"/>
    <w:rsid w:val="00C63D3C"/>
    <w:rsid w:val="00C63D8E"/>
    <w:rsid w:val="00C64303"/>
    <w:rsid w:val="00C645A5"/>
    <w:rsid w:val="00C65B40"/>
    <w:rsid w:val="00C66251"/>
    <w:rsid w:val="00C66AF7"/>
    <w:rsid w:val="00C67578"/>
    <w:rsid w:val="00C676B4"/>
    <w:rsid w:val="00C6794A"/>
    <w:rsid w:val="00C70DA1"/>
    <w:rsid w:val="00C715E6"/>
    <w:rsid w:val="00C8248F"/>
    <w:rsid w:val="00C82D3A"/>
    <w:rsid w:val="00C83EAE"/>
    <w:rsid w:val="00C841FE"/>
    <w:rsid w:val="00C91C02"/>
    <w:rsid w:val="00C9528C"/>
    <w:rsid w:val="00C95A48"/>
    <w:rsid w:val="00C95D73"/>
    <w:rsid w:val="00C9622E"/>
    <w:rsid w:val="00C97A5F"/>
    <w:rsid w:val="00CA1180"/>
    <w:rsid w:val="00CA246E"/>
    <w:rsid w:val="00CA34C6"/>
    <w:rsid w:val="00CA3FD6"/>
    <w:rsid w:val="00CA414F"/>
    <w:rsid w:val="00CA545B"/>
    <w:rsid w:val="00CB17A6"/>
    <w:rsid w:val="00CB188E"/>
    <w:rsid w:val="00CB1EF3"/>
    <w:rsid w:val="00CB252E"/>
    <w:rsid w:val="00CB2AD8"/>
    <w:rsid w:val="00CB3E79"/>
    <w:rsid w:val="00CB4344"/>
    <w:rsid w:val="00CB4F16"/>
    <w:rsid w:val="00CB71C1"/>
    <w:rsid w:val="00CC0CDF"/>
    <w:rsid w:val="00CC1452"/>
    <w:rsid w:val="00CC33F7"/>
    <w:rsid w:val="00CC364C"/>
    <w:rsid w:val="00CC6B1B"/>
    <w:rsid w:val="00CC78A4"/>
    <w:rsid w:val="00CD017B"/>
    <w:rsid w:val="00CD22B8"/>
    <w:rsid w:val="00CD5C0F"/>
    <w:rsid w:val="00CD6A5C"/>
    <w:rsid w:val="00CD7DE9"/>
    <w:rsid w:val="00CE2334"/>
    <w:rsid w:val="00CE2BFC"/>
    <w:rsid w:val="00CE2D60"/>
    <w:rsid w:val="00CE35BF"/>
    <w:rsid w:val="00CE6226"/>
    <w:rsid w:val="00CE64FB"/>
    <w:rsid w:val="00CE67AB"/>
    <w:rsid w:val="00CE7461"/>
    <w:rsid w:val="00CF023A"/>
    <w:rsid w:val="00CF15D7"/>
    <w:rsid w:val="00CF3C7E"/>
    <w:rsid w:val="00CF3F44"/>
    <w:rsid w:val="00CF5147"/>
    <w:rsid w:val="00CF5762"/>
    <w:rsid w:val="00CF5DCF"/>
    <w:rsid w:val="00CF6551"/>
    <w:rsid w:val="00CF743A"/>
    <w:rsid w:val="00CF7AD3"/>
    <w:rsid w:val="00D027D0"/>
    <w:rsid w:val="00D04F3F"/>
    <w:rsid w:val="00D07513"/>
    <w:rsid w:val="00D115C6"/>
    <w:rsid w:val="00D11D83"/>
    <w:rsid w:val="00D12EE8"/>
    <w:rsid w:val="00D14267"/>
    <w:rsid w:val="00D14AA5"/>
    <w:rsid w:val="00D16F92"/>
    <w:rsid w:val="00D22231"/>
    <w:rsid w:val="00D22AB9"/>
    <w:rsid w:val="00D24137"/>
    <w:rsid w:val="00D26F8D"/>
    <w:rsid w:val="00D27481"/>
    <w:rsid w:val="00D27E46"/>
    <w:rsid w:val="00D30111"/>
    <w:rsid w:val="00D31E2C"/>
    <w:rsid w:val="00D323D7"/>
    <w:rsid w:val="00D32ADB"/>
    <w:rsid w:val="00D335C1"/>
    <w:rsid w:val="00D33839"/>
    <w:rsid w:val="00D349A5"/>
    <w:rsid w:val="00D40468"/>
    <w:rsid w:val="00D40915"/>
    <w:rsid w:val="00D4184F"/>
    <w:rsid w:val="00D443FD"/>
    <w:rsid w:val="00D44692"/>
    <w:rsid w:val="00D447D9"/>
    <w:rsid w:val="00D44B86"/>
    <w:rsid w:val="00D45FB4"/>
    <w:rsid w:val="00D46EF2"/>
    <w:rsid w:val="00D47941"/>
    <w:rsid w:val="00D47FF2"/>
    <w:rsid w:val="00D5113A"/>
    <w:rsid w:val="00D511A5"/>
    <w:rsid w:val="00D5230D"/>
    <w:rsid w:val="00D53402"/>
    <w:rsid w:val="00D5486E"/>
    <w:rsid w:val="00D553BE"/>
    <w:rsid w:val="00D60AAF"/>
    <w:rsid w:val="00D6123C"/>
    <w:rsid w:val="00D62A73"/>
    <w:rsid w:val="00D63603"/>
    <w:rsid w:val="00D64206"/>
    <w:rsid w:val="00D6591A"/>
    <w:rsid w:val="00D66840"/>
    <w:rsid w:val="00D708FB"/>
    <w:rsid w:val="00D70D63"/>
    <w:rsid w:val="00D73955"/>
    <w:rsid w:val="00D74F58"/>
    <w:rsid w:val="00D75604"/>
    <w:rsid w:val="00D7603A"/>
    <w:rsid w:val="00D77595"/>
    <w:rsid w:val="00D77DDF"/>
    <w:rsid w:val="00D8037D"/>
    <w:rsid w:val="00D809E0"/>
    <w:rsid w:val="00D80C36"/>
    <w:rsid w:val="00D811DB"/>
    <w:rsid w:val="00D81A33"/>
    <w:rsid w:val="00D82F5F"/>
    <w:rsid w:val="00D84349"/>
    <w:rsid w:val="00D87334"/>
    <w:rsid w:val="00D91183"/>
    <w:rsid w:val="00D933D8"/>
    <w:rsid w:val="00D96BC3"/>
    <w:rsid w:val="00D97064"/>
    <w:rsid w:val="00DA1794"/>
    <w:rsid w:val="00DA24E2"/>
    <w:rsid w:val="00DA3B88"/>
    <w:rsid w:val="00DA502A"/>
    <w:rsid w:val="00DA5A03"/>
    <w:rsid w:val="00DA6259"/>
    <w:rsid w:val="00DA7C75"/>
    <w:rsid w:val="00DA7CC1"/>
    <w:rsid w:val="00DB0EDE"/>
    <w:rsid w:val="00DB3805"/>
    <w:rsid w:val="00DB49B1"/>
    <w:rsid w:val="00DB6010"/>
    <w:rsid w:val="00DB682B"/>
    <w:rsid w:val="00DB7340"/>
    <w:rsid w:val="00DB7B3A"/>
    <w:rsid w:val="00DB7BC2"/>
    <w:rsid w:val="00DC135B"/>
    <w:rsid w:val="00DC2CAB"/>
    <w:rsid w:val="00DC36AE"/>
    <w:rsid w:val="00DC3B86"/>
    <w:rsid w:val="00DC45CB"/>
    <w:rsid w:val="00DC49C3"/>
    <w:rsid w:val="00DC4F1E"/>
    <w:rsid w:val="00DC5AA8"/>
    <w:rsid w:val="00DC6D76"/>
    <w:rsid w:val="00DD23DB"/>
    <w:rsid w:val="00DD2DC1"/>
    <w:rsid w:val="00DD43E9"/>
    <w:rsid w:val="00DD504E"/>
    <w:rsid w:val="00DD591A"/>
    <w:rsid w:val="00DD60C6"/>
    <w:rsid w:val="00DD6252"/>
    <w:rsid w:val="00DD64F8"/>
    <w:rsid w:val="00DD6B23"/>
    <w:rsid w:val="00DE001A"/>
    <w:rsid w:val="00DE1E30"/>
    <w:rsid w:val="00DE1FD7"/>
    <w:rsid w:val="00DE2140"/>
    <w:rsid w:val="00DE223A"/>
    <w:rsid w:val="00DE2D08"/>
    <w:rsid w:val="00DE38E5"/>
    <w:rsid w:val="00DE3A28"/>
    <w:rsid w:val="00DE45D7"/>
    <w:rsid w:val="00DE5F87"/>
    <w:rsid w:val="00DE60F4"/>
    <w:rsid w:val="00DE72FD"/>
    <w:rsid w:val="00DE73AE"/>
    <w:rsid w:val="00DF0005"/>
    <w:rsid w:val="00DF19F2"/>
    <w:rsid w:val="00DF1B81"/>
    <w:rsid w:val="00DF2625"/>
    <w:rsid w:val="00DF2687"/>
    <w:rsid w:val="00DF2776"/>
    <w:rsid w:val="00DF3FFE"/>
    <w:rsid w:val="00DF68AD"/>
    <w:rsid w:val="00DF6AE7"/>
    <w:rsid w:val="00E01E6B"/>
    <w:rsid w:val="00E032D5"/>
    <w:rsid w:val="00E039C0"/>
    <w:rsid w:val="00E04299"/>
    <w:rsid w:val="00E049C2"/>
    <w:rsid w:val="00E05483"/>
    <w:rsid w:val="00E057D1"/>
    <w:rsid w:val="00E06339"/>
    <w:rsid w:val="00E06914"/>
    <w:rsid w:val="00E10E41"/>
    <w:rsid w:val="00E111D7"/>
    <w:rsid w:val="00E1135E"/>
    <w:rsid w:val="00E132CB"/>
    <w:rsid w:val="00E132E8"/>
    <w:rsid w:val="00E1350F"/>
    <w:rsid w:val="00E13870"/>
    <w:rsid w:val="00E1538D"/>
    <w:rsid w:val="00E17BD8"/>
    <w:rsid w:val="00E17E86"/>
    <w:rsid w:val="00E2039B"/>
    <w:rsid w:val="00E21406"/>
    <w:rsid w:val="00E21ADE"/>
    <w:rsid w:val="00E21D21"/>
    <w:rsid w:val="00E23B2F"/>
    <w:rsid w:val="00E23D42"/>
    <w:rsid w:val="00E244D0"/>
    <w:rsid w:val="00E2467B"/>
    <w:rsid w:val="00E24A3C"/>
    <w:rsid w:val="00E24F51"/>
    <w:rsid w:val="00E260B3"/>
    <w:rsid w:val="00E264DA"/>
    <w:rsid w:val="00E27759"/>
    <w:rsid w:val="00E30DD3"/>
    <w:rsid w:val="00E315D5"/>
    <w:rsid w:val="00E31746"/>
    <w:rsid w:val="00E35706"/>
    <w:rsid w:val="00E36881"/>
    <w:rsid w:val="00E3721D"/>
    <w:rsid w:val="00E37388"/>
    <w:rsid w:val="00E419B9"/>
    <w:rsid w:val="00E42F52"/>
    <w:rsid w:val="00E43AB6"/>
    <w:rsid w:val="00E43DF7"/>
    <w:rsid w:val="00E44B1A"/>
    <w:rsid w:val="00E46795"/>
    <w:rsid w:val="00E46DF4"/>
    <w:rsid w:val="00E46F38"/>
    <w:rsid w:val="00E52256"/>
    <w:rsid w:val="00E535B8"/>
    <w:rsid w:val="00E54CA5"/>
    <w:rsid w:val="00E56B50"/>
    <w:rsid w:val="00E6058C"/>
    <w:rsid w:val="00E60B09"/>
    <w:rsid w:val="00E61070"/>
    <w:rsid w:val="00E61332"/>
    <w:rsid w:val="00E6270E"/>
    <w:rsid w:val="00E62B43"/>
    <w:rsid w:val="00E63CA7"/>
    <w:rsid w:val="00E6472B"/>
    <w:rsid w:val="00E65BC5"/>
    <w:rsid w:val="00E65C9B"/>
    <w:rsid w:val="00E65D41"/>
    <w:rsid w:val="00E66523"/>
    <w:rsid w:val="00E703F1"/>
    <w:rsid w:val="00E72276"/>
    <w:rsid w:val="00E72E5A"/>
    <w:rsid w:val="00E72EDC"/>
    <w:rsid w:val="00E73831"/>
    <w:rsid w:val="00E76458"/>
    <w:rsid w:val="00E76744"/>
    <w:rsid w:val="00E76F7B"/>
    <w:rsid w:val="00E77F0D"/>
    <w:rsid w:val="00E80876"/>
    <w:rsid w:val="00E81B12"/>
    <w:rsid w:val="00E83972"/>
    <w:rsid w:val="00E84E80"/>
    <w:rsid w:val="00E86E0B"/>
    <w:rsid w:val="00E879B2"/>
    <w:rsid w:val="00E92C47"/>
    <w:rsid w:val="00E93090"/>
    <w:rsid w:val="00E93AD4"/>
    <w:rsid w:val="00E944E8"/>
    <w:rsid w:val="00E960BA"/>
    <w:rsid w:val="00EA00F5"/>
    <w:rsid w:val="00EA09F3"/>
    <w:rsid w:val="00EA11A3"/>
    <w:rsid w:val="00EA420C"/>
    <w:rsid w:val="00EA47C2"/>
    <w:rsid w:val="00EA6760"/>
    <w:rsid w:val="00EA7C41"/>
    <w:rsid w:val="00EA7D73"/>
    <w:rsid w:val="00EB0032"/>
    <w:rsid w:val="00EB1224"/>
    <w:rsid w:val="00EB28BB"/>
    <w:rsid w:val="00EB35DA"/>
    <w:rsid w:val="00EB4F2D"/>
    <w:rsid w:val="00EB6DFC"/>
    <w:rsid w:val="00EB75FD"/>
    <w:rsid w:val="00EB7641"/>
    <w:rsid w:val="00EB773B"/>
    <w:rsid w:val="00EC0020"/>
    <w:rsid w:val="00EC0B90"/>
    <w:rsid w:val="00EC0EC1"/>
    <w:rsid w:val="00EC132C"/>
    <w:rsid w:val="00EC17E2"/>
    <w:rsid w:val="00EC2D8C"/>
    <w:rsid w:val="00EC4525"/>
    <w:rsid w:val="00EC5F80"/>
    <w:rsid w:val="00EC68BC"/>
    <w:rsid w:val="00EC6BE2"/>
    <w:rsid w:val="00EC728A"/>
    <w:rsid w:val="00EC7F1C"/>
    <w:rsid w:val="00ED0BA8"/>
    <w:rsid w:val="00ED15FC"/>
    <w:rsid w:val="00ED23AD"/>
    <w:rsid w:val="00ED41C6"/>
    <w:rsid w:val="00ED4F50"/>
    <w:rsid w:val="00ED5203"/>
    <w:rsid w:val="00ED5287"/>
    <w:rsid w:val="00ED584F"/>
    <w:rsid w:val="00ED6CC6"/>
    <w:rsid w:val="00EE0A78"/>
    <w:rsid w:val="00EE380E"/>
    <w:rsid w:val="00EE3E65"/>
    <w:rsid w:val="00EE7DB7"/>
    <w:rsid w:val="00EF085F"/>
    <w:rsid w:val="00EF133B"/>
    <w:rsid w:val="00EF1CA8"/>
    <w:rsid w:val="00EF3F96"/>
    <w:rsid w:val="00EF4367"/>
    <w:rsid w:val="00EF45C0"/>
    <w:rsid w:val="00EF5047"/>
    <w:rsid w:val="00EF5CFB"/>
    <w:rsid w:val="00F01087"/>
    <w:rsid w:val="00F01921"/>
    <w:rsid w:val="00F01B74"/>
    <w:rsid w:val="00F02754"/>
    <w:rsid w:val="00F02A2E"/>
    <w:rsid w:val="00F0302F"/>
    <w:rsid w:val="00F038A0"/>
    <w:rsid w:val="00F06738"/>
    <w:rsid w:val="00F07934"/>
    <w:rsid w:val="00F106F4"/>
    <w:rsid w:val="00F11A21"/>
    <w:rsid w:val="00F12B30"/>
    <w:rsid w:val="00F14DE3"/>
    <w:rsid w:val="00F15B64"/>
    <w:rsid w:val="00F15E78"/>
    <w:rsid w:val="00F16085"/>
    <w:rsid w:val="00F16CA6"/>
    <w:rsid w:val="00F17648"/>
    <w:rsid w:val="00F20B9B"/>
    <w:rsid w:val="00F20E60"/>
    <w:rsid w:val="00F21D9C"/>
    <w:rsid w:val="00F23924"/>
    <w:rsid w:val="00F23A8B"/>
    <w:rsid w:val="00F23B4B"/>
    <w:rsid w:val="00F2474D"/>
    <w:rsid w:val="00F24D99"/>
    <w:rsid w:val="00F25630"/>
    <w:rsid w:val="00F2585B"/>
    <w:rsid w:val="00F2667D"/>
    <w:rsid w:val="00F26D6D"/>
    <w:rsid w:val="00F275E5"/>
    <w:rsid w:val="00F3078E"/>
    <w:rsid w:val="00F30793"/>
    <w:rsid w:val="00F31FC3"/>
    <w:rsid w:val="00F324D6"/>
    <w:rsid w:val="00F343E3"/>
    <w:rsid w:val="00F34E7C"/>
    <w:rsid w:val="00F3598E"/>
    <w:rsid w:val="00F36F0B"/>
    <w:rsid w:val="00F400F6"/>
    <w:rsid w:val="00F403C2"/>
    <w:rsid w:val="00F40736"/>
    <w:rsid w:val="00F40CA0"/>
    <w:rsid w:val="00F40E31"/>
    <w:rsid w:val="00F425A6"/>
    <w:rsid w:val="00F42D83"/>
    <w:rsid w:val="00F43EAB"/>
    <w:rsid w:val="00F4473A"/>
    <w:rsid w:val="00F45B24"/>
    <w:rsid w:val="00F46A8C"/>
    <w:rsid w:val="00F50DFB"/>
    <w:rsid w:val="00F52DAF"/>
    <w:rsid w:val="00F539EE"/>
    <w:rsid w:val="00F53FF8"/>
    <w:rsid w:val="00F54BFE"/>
    <w:rsid w:val="00F55269"/>
    <w:rsid w:val="00F618CA"/>
    <w:rsid w:val="00F6230A"/>
    <w:rsid w:val="00F6281E"/>
    <w:rsid w:val="00F6303B"/>
    <w:rsid w:val="00F63958"/>
    <w:rsid w:val="00F663AA"/>
    <w:rsid w:val="00F66B5F"/>
    <w:rsid w:val="00F671A6"/>
    <w:rsid w:val="00F67849"/>
    <w:rsid w:val="00F7031C"/>
    <w:rsid w:val="00F705B6"/>
    <w:rsid w:val="00F7108D"/>
    <w:rsid w:val="00F728C8"/>
    <w:rsid w:val="00F759EB"/>
    <w:rsid w:val="00F75A45"/>
    <w:rsid w:val="00F80AE3"/>
    <w:rsid w:val="00F814AE"/>
    <w:rsid w:val="00F82236"/>
    <w:rsid w:val="00F82C31"/>
    <w:rsid w:val="00F85438"/>
    <w:rsid w:val="00F860F8"/>
    <w:rsid w:val="00F8791C"/>
    <w:rsid w:val="00F90026"/>
    <w:rsid w:val="00F90FE4"/>
    <w:rsid w:val="00F92BAB"/>
    <w:rsid w:val="00F92F57"/>
    <w:rsid w:val="00F94914"/>
    <w:rsid w:val="00F9687D"/>
    <w:rsid w:val="00F969FE"/>
    <w:rsid w:val="00F96C7B"/>
    <w:rsid w:val="00F97933"/>
    <w:rsid w:val="00FA11AB"/>
    <w:rsid w:val="00FA222C"/>
    <w:rsid w:val="00FA2B46"/>
    <w:rsid w:val="00FA4219"/>
    <w:rsid w:val="00FA52D1"/>
    <w:rsid w:val="00FA577D"/>
    <w:rsid w:val="00FA6CF6"/>
    <w:rsid w:val="00FB12C4"/>
    <w:rsid w:val="00FB25DE"/>
    <w:rsid w:val="00FB36E6"/>
    <w:rsid w:val="00FB4E95"/>
    <w:rsid w:val="00FB65C2"/>
    <w:rsid w:val="00FB6615"/>
    <w:rsid w:val="00FB6B0E"/>
    <w:rsid w:val="00FB7212"/>
    <w:rsid w:val="00FC0FA6"/>
    <w:rsid w:val="00FC1B67"/>
    <w:rsid w:val="00FC2447"/>
    <w:rsid w:val="00FC48C3"/>
    <w:rsid w:val="00FC60DD"/>
    <w:rsid w:val="00FC7793"/>
    <w:rsid w:val="00FD02AA"/>
    <w:rsid w:val="00FD246B"/>
    <w:rsid w:val="00FD2480"/>
    <w:rsid w:val="00FD3307"/>
    <w:rsid w:val="00FD5298"/>
    <w:rsid w:val="00FD5736"/>
    <w:rsid w:val="00FD5A3E"/>
    <w:rsid w:val="00FD5EBA"/>
    <w:rsid w:val="00FD77B3"/>
    <w:rsid w:val="00FD7A6E"/>
    <w:rsid w:val="00FE18BD"/>
    <w:rsid w:val="00FE260A"/>
    <w:rsid w:val="00FE4DF6"/>
    <w:rsid w:val="00FE5592"/>
    <w:rsid w:val="00FE75E4"/>
    <w:rsid w:val="00FE7879"/>
    <w:rsid w:val="00FF07C6"/>
    <w:rsid w:val="00FF0BEF"/>
    <w:rsid w:val="00FF1936"/>
    <w:rsid w:val="00FF24E5"/>
    <w:rsid w:val="00FF30B7"/>
    <w:rsid w:val="00FF36A1"/>
    <w:rsid w:val="00FF43D4"/>
    <w:rsid w:val="00FF79E8"/>
    <w:rsid w:val="013B55D6"/>
    <w:rsid w:val="015B2C57"/>
    <w:rsid w:val="016B01A8"/>
    <w:rsid w:val="017E07F8"/>
    <w:rsid w:val="01BC2613"/>
    <w:rsid w:val="01D46D90"/>
    <w:rsid w:val="01F35CB1"/>
    <w:rsid w:val="02073C59"/>
    <w:rsid w:val="020B1096"/>
    <w:rsid w:val="022F241A"/>
    <w:rsid w:val="023B284A"/>
    <w:rsid w:val="02771BC5"/>
    <w:rsid w:val="02AA393D"/>
    <w:rsid w:val="033C5E12"/>
    <w:rsid w:val="03990CC3"/>
    <w:rsid w:val="03ED490F"/>
    <w:rsid w:val="03EE1054"/>
    <w:rsid w:val="040E28DA"/>
    <w:rsid w:val="044C330C"/>
    <w:rsid w:val="04856E56"/>
    <w:rsid w:val="04AA6F07"/>
    <w:rsid w:val="04AD08B3"/>
    <w:rsid w:val="04B36EE7"/>
    <w:rsid w:val="04F1634C"/>
    <w:rsid w:val="05126F72"/>
    <w:rsid w:val="051C4C9B"/>
    <w:rsid w:val="052529F9"/>
    <w:rsid w:val="05433385"/>
    <w:rsid w:val="05455F3C"/>
    <w:rsid w:val="055A0642"/>
    <w:rsid w:val="056F52F8"/>
    <w:rsid w:val="05994D1D"/>
    <w:rsid w:val="05AE248D"/>
    <w:rsid w:val="061E1DA5"/>
    <w:rsid w:val="06294112"/>
    <w:rsid w:val="065F69FD"/>
    <w:rsid w:val="06864F48"/>
    <w:rsid w:val="06B01FE1"/>
    <w:rsid w:val="06BF2D2B"/>
    <w:rsid w:val="06DE4794"/>
    <w:rsid w:val="070B7889"/>
    <w:rsid w:val="071F39D1"/>
    <w:rsid w:val="07593D76"/>
    <w:rsid w:val="0781491C"/>
    <w:rsid w:val="07844CE3"/>
    <w:rsid w:val="07C80C86"/>
    <w:rsid w:val="07D01AF4"/>
    <w:rsid w:val="08321450"/>
    <w:rsid w:val="0837292D"/>
    <w:rsid w:val="08381BDD"/>
    <w:rsid w:val="088034DB"/>
    <w:rsid w:val="088E2476"/>
    <w:rsid w:val="08FA66E5"/>
    <w:rsid w:val="092469D9"/>
    <w:rsid w:val="093457C4"/>
    <w:rsid w:val="093C6689"/>
    <w:rsid w:val="09797B4A"/>
    <w:rsid w:val="0993367A"/>
    <w:rsid w:val="099B6BF2"/>
    <w:rsid w:val="09B33EE8"/>
    <w:rsid w:val="09C123E4"/>
    <w:rsid w:val="09C5610F"/>
    <w:rsid w:val="0A24037A"/>
    <w:rsid w:val="0A280D2A"/>
    <w:rsid w:val="0A546980"/>
    <w:rsid w:val="0A5D2056"/>
    <w:rsid w:val="0A6D7B38"/>
    <w:rsid w:val="0A856E1B"/>
    <w:rsid w:val="0ACE00BD"/>
    <w:rsid w:val="0B054C7F"/>
    <w:rsid w:val="0B1374AF"/>
    <w:rsid w:val="0B7D1FFD"/>
    <w:rsid w:val="0B956CD5"/>
    <w:rsid w:val="0BAD643E"/>
    <w:rsid w:val="0C3314B9"/>
    <w:rsid w:val="0C45614F"/>
    <w:rsid w:val="0C57666A"/>
    <w:rsid w:val="0C6347F6"/>
    <w:rsid w:val="0C7824B8"/>
    <w:rsid w:val="0C8E0ACE"/>
    <w:rsid w:val="0CC62DDC"/>
    <w:rsid w:val="0CE70D13"/>
    <w:rsid w:val="0D077B90"/>
    <w:rsid w:val="0D176BD3"/>
    <w:rsid w:val="0D7E3655"/>
    <w:rsid w:val="0DAB54D2"/>
    <w:rsid w:val="0DE47A12"/>
    <w:rsid w:val="0DEF3864"/>
    <w:rsid w:val="0E1506AF"/>
    <w:rsid w:val="0E25778C"/>
    <w:rsid w:val="0E294B7B"/>
    <w:rsid w:val="0E2D0311"/>
    <w:rsid w:val="0E2F2949"/>
    <w:rsid w:val="0E4021B6"/>
    <w:rsid w:val="0E8A1C33"/>
    <w:rsid w:val="0EA278FC"/>
    <w:rsid w:val="0ED85ED4"/>
    <w:rsid w:val="0F112201"/>
    <w:rsid w:val="0F1B185D"/>
    <w:rsid w:val="0F645378"/>
    <w:rsid w:val="0F6B266C"/>
    <w:rsid w:val="0F7D25CB"/>
    <w:rsid w:val="0FBF78C5"/>
    <w:rsid w:val="0FFE331C"/>
    <w:rsid w:val="103B4386"/>
    <w:rsid w:val="104D0939"/>
    <w:rsid w:val="10B169D0"/>
    <w:rsid w:val="10FF2155"/>
    <w:rsid w:val="110B69CC"/>
    <w:rsid w:val="11190D4B"/>
    <w:rsid w:val="113E67EC"/>
    <w:rsid w:val="117274F9"/>
    <w:rsid w:val="11B56B86"/>
    <w:rsid w:val="11D230A2"/>
    <w:rsid w:val="121F7406"/>
    <w:rsid w:val="1230601B"/>
    <w:rsid w:val="12307CB5"/>
    <w:rsid w:val="124964D6"/>
    <w:rsid w:val="12AB1745"/>
    <w:rsid w:val="12B1669B"/>
    <w:rsid w:val="12CF61D1"/>
    <w:rsid w:val="12EE6E5C"/>
    <w:rsid w:val="13714D3B"/>
    <w:rsid w:val="13F9740C"/>
    <w:rsid w:val="141A3B1B"/>
    <w:rsid w:val="14252BD9"/>
    <w:rsid w:val="142B4510"/>
    <w:rsid w:val="14A44727"/>
    <w:rsid w:val="14E37568"/>
    <w:rsid w:val="152B784D"/>
    <w:rsid w:val="15582E1A"/>
    <w:rsid w:val="15841000"/>
    <w:rsid w:val="159F73A2"/>
    <w:rsid w:val="15F5775F"/>
    <w:rsid w:val="16205D42"/>
    <w:rsid w:val="162C6E4A"/>
    <w:rsid w:val="164C442B"/>
    <w:rsid w:val="166E6E00"/>
    <w:rsid w:val="16891902"/>
    <w:rsid w:val="168C79F8"/>
    <w:rsid w:val="16E94766"/>
    <w:rsid w:val="17152876"/>
    <w:rsid w:val="17176746"/>
    <w:rsid w:val="1727713B"/>
    <w:rsid w:val="17433126"/>
    <w:rsid w:val="176C7D14"/>
    <w:rsid w:val="17AD3EEE"/>
    <w:rsid w:val="17B67EA8"/>
    <w:rsid w:val="17D8096C"/>
    <w:rsid w:val="17EB2E40"/>
    <w:rsid w:val="183F05F6"/>
    <w:rsid w:val="184F0E93"/>
    <w:rsid w:val="18C8152D"/>
    <w:rsid w:val="18E6354E"/>
    <w:rsid w:val="190E3260"/>
    <w:rsid w:val="19284707"/>
    <w:rsid w:val="192A720D"/>
    <w:rsid w:val="193373AB"/>
    <w:rsid w:val="198429A7"/>
    <w:rsid w:val="198D1607"/>
    <w:rsid w:val="19B6511C"/>
    <w:rsid w:val="19CF73D7"/>
    <w:rsid w:val="19D56279"/>
    <w:rsid w:val="1A391567"/>
    <w:rsid w:val="1A3D5485"/>
    <w:rsid w:val="1A8B64E4"/>
    <w:rsid w:val="1AEB0DEC"/>
    <w:rsid w:val="1AEF732A"/>
    <w:rsid w:val="1B0E56AB"/>
    <w:rsid w:val="1B4775BC"/>
    <w:rsid w:val="1B754A9E"/>
    <w:rsid w:val="1B7816DE"/>
    <w:rsid w:val="1BAA749B"/>
    <w:rsid w:val="1BB87F27"/>
    <w:rsid w:val="1BF82737"/>
    <w:rsid w:val="1C343166"/>
    <w:rsid w:val="1CBE0618"/>
    <w:rsid w:val="1CCC152C"/>
    <w:rsid w:val="1D152228"/>
    <w:rsid w:val="1D1525AD"/>
    <w:rsid w:val="1D3468F9"/>
    <w:rsid w:val="1D3F5EC3"/>
    <w:rsid w:val="1D84404A"/>
    <w:rsid w:val="1D885341"/>
    <w:rsid w:val="1D9C27FA"/>
    <w:rsid w:val="1DB92697"/>
    <w:rsid w:val="1DEC43A7"/>
    <w:rsid w:val="1E0C0536"/>
    <w:rsid w:val="1E891CC8"/>
    <w:rsid w:val="1EA4651E"/>
    <w:rsid w:val="1EE04A60"/>
    <w:rsid w:val="1EEB4DB9"/>
    <w:rsid w:val="1F2F4E2E"/>
    <w:rsid w:val="1F9A4C4E"/>
    <w:rsid w:val="1FB71960"/>
    <w:rsid w:val="200D24A0"/>
    <w:rsid w:val="20124E4F"/>
    <w:rsid w:val="20353900"/>
    <w:rsid w:val="20603D1D"/>
    <w:rsid w:val="2081209E"/>
    <w:rsid w:val="20BA4C9B"/>
    <w:rsid w:val="210E7645"/>
    <w:rsid w:val="211C10EA"/>
    <w:rsid w:val="216E446A"/>
    <w:rsid w:val="217C6B87"/>
    <w:rsid w:val="2194754D"/>
    <w:rsid w:val="21B305E9"/>
    <w:rsid w:val="21CD153B"/>
    <w:rsid w:val="21EF2EC2"/>
    <w:rsid w:val="21F958C4"/>
    <w:rsid w:val="22467D55"/>
    <w:rsid w:val="225B35F0"/>
    <w:rsid w:val="2274640C"/>
    <w:rsid w:val="22834BB4"/>
    <w:rsid w:val="22887E8E"/>
    <w:rsid w:val="23BD53C4"/>
    <w:rsid w:val="23D15638"/>
    <w:rsid w:val="240D3977"/>
    <w:rsid w:val="2444305E"/>
    <w:rsid w:val="24D5203C"/>
    <w:rsid w:val="253C3DEB"/>
    <w:rsid w:val="25405633"/>
    <w:rsid w:val="25432160"/>
    <w:rsid w:val="25481C77"/>
    <w:rsid w:val="25530685"/>
    <w:rsid w:val="25D05F02"/>
    <w:rsid w:val="25DE1BBE"/>
    <w:rsid w:val="25F952EB"/>
    <w:rsid w:val="25FC0F89"/>
    <w:rsid w:val="261D3EDE"/>
    <w:rsid w:val="26986BAD"/>
    <w:rsid w:val="26DD542A"/>
    <w:rsid w:val="27280C17"/>
    <w:rsid w:val="278438E5"/>
    <w:rsid w:val="278B79C4"/>
    <w:rsid w:val="27D14AE5"/>
    <w:rsid w:val="27DB66BC"/>
    <w:rsid w:val="27E41871"/>
    <w:rsid w:val="27E50F81"/>
    <w:rsid w:val="27ED32F5"/>
    <w:rsid w:val="27F0205F"/>
    <w:rsid w:val="285E121D"/>
    <w:rsid w:val="287F74B0"/>
    <w:rsid w:val="28932C5D"/>
    <w:rsid w:val="28956121"/>
    <w:rsid w:val="28B2096C"/>
    <w:rsid w:val="28C60604"/>
    <w:rsid w:val="28F94733"/>
    <w:rsid w:val="29005718"/>
    <w:rsid w:val="291546BC"/>
    <w:rsid w:val="29191F98"/>
    <w:rsid w:val="2920429C"/>
    <w:rsid w:val="29407037"/>
    <w:rsid w:val="29B83460"/>
    <w:rsid w:val="29F17703"/>
    <w:rsid w:val="2AD66060"/>
    <w:rsid w:val="2B8A10B4"/>
    <w:rsid w:val="2BA2543C"/>
    <w:rsid w:val="2BB87CD4"/>
    <w:rsid w:val="2BDA35AA"/>
    <w:rsid w:val="2C2B5AF6"/>
    <w:rsid w:val="2C3907B8"/>
    <w:rsid w:val="2C41250C"/>
    <w:rsid w:val="2C4464F3"/>
    <w:rsid w:val="2C7540D2"/>
    <w:rsid w:val="2CC10D69"/>
    <w:rsid w:val="2CE865A1"/>
    <w:rsid w:val="2D181465"/>
    <w:rsid w:val="2D2C0381"/>
    <w:rsid w:val="2D3C3CB8"/>
    <w:rsid w:val="2D3F42FB"/>
    <w:rsid w:val="2D4D63C8"/>
    <w:rsid w:val="2D52499B"/>
    <w:rsid w:val="2DE25FC3"/>
    <w:rsid w:val="2E3520F1"/>
    <w:rsid w:val="2E644C15"/>
    <w:rsid w:val="2E873FB5"/>
    <w:rsid w:val="2E9426DC"/>
    <w:rsid w:val="2E9B0265"/>
    <w:rsid w:val="2E9F5CC2"/>
    <w:rsid w:val="2EB71B2E"/>
    <w:rsid w:val="2F0E4307"/>
    <w:rsid w:val="2F0E61C2"/>
    <w:rsid w:val="2F4C289A"/>
    <w:rsid w:val="2F725125"/>
    <w:rsid w:val="2FD44032"/>
    <w:rsid w:val="2FF24F4A"/>
    <w:rsid w:val="30071D11"/>
    <w:rsid w:val="30161391"/>
    <w:rsid w:val="301D319A"/>
    <w:rsid w:val="302A46A0"/>
    <w:rsid w:val="304F78CF"/>
    <w:rsid w:val="30904617"/>
    <w:rsid w:val="30BF1B1A"/>
    <w:rsid w:val="30E20BDE"/>
    <w:rsid w:val="30F27031"/>
    <w:rsid w:val="31264419"/>
    <w:rsid w:val="31283909"/>
    <w:rsid w:val="3196002D"/>
    <w:rsid w:val="31E80F9A"/>
    <w:rsid w:val="31F7462E"/>
    <w:rsid w:val="320A5AE9"/>
    <w:rsid w:val="32252940"/>
    <w:rsid w:val="324555E1"/>
    <w:rsid w:val="326D6A95"/>
    <w:rsid w:val="326F02FF"/>
    <w:rsid w:val="32B41BE4"/>
    <w:rsid w:val="32BB4740"/>
    <w:rsid w:val="32C268F0"/>
    <w:rsid w:val="32DD144F"/>
    <w:rsid w:val="330F2322"/>
    <w:rsid w:val="33226D96"/>
    <w:rsid w:val="335A2FC4"/>
    <w:rsid w:val="33C93873"/>
    <w:rsid w:val="33CF7B09"/>
    <w:rsid w:val="33F151B2"/>
    <w:rsid w:val="33FB7DDF"/>
    <w:rsid w:val="3441516C"/>
    <w:rsid w:val="34D0627F"/>
    <w:rsid w:val="34EE661A"/>
    <w:rsid w:val="353F0166"/>
    <w:rsid w:val="35F63C9D"/>
    <w:rsid w:val="35FB0666"/>
    <w:rsid w:val="36044087"/>
    <w:rsid w:val="361A3880"/>
    <w:rsid w:val="365470A9"/>
    <w:rsid w:val="36694ED2"/>
    <w:rsid w:val="36916162"/>
    <w:rsid w:val="371C222C"/>
    <w:rsid w:val="377816D4"/>
    <w:rsid w:val="377B1B91"/>
    <w:rsid w:val="37C14D94"/>
    <w:rsid w:val="37C578F6"/>
    <w:rsid w:val="385C2D63"/>
    <w:rsid w:val="388859B9"/>
    <w:rsid w:val="388D4D7E"/>
    <w:rsid w:val="3892560A"/>
    <w:rsid w:val="38F20631"/>
    <w:rsid w:val="39217789"/>
    <w:rsid w:val="395F496C"/>
    <w:rsid w:val="398C4546"/>
    <w:rsid w:val="399F6A19"/>
    <w:rsid w:val="39E90B25"/>
    <w:rsid w:val="3A2332C9"/>
    <w:rsid w:val="3A27545B"/>
    <w:rsid w:val="3A3926A8"/>
    <w:rsid w:val="3A605F71"/>
    <w:rsid w:val="3AB70A36"/>
    <w:rsid w:val="3ADA31BB"/>
    <w:rsid w:val="3AE91299"/>
    <w:rsid w:val="3AE94513"/>
    <w:rsid w:val="3AEC5EAE"/>
    <w:rsid w:val="3B9932A6"/>
    <w:rsid w:val="3BA7084C"/>
    <w:rsid w:val="3C10756E"/>
    <w:rsid w:val="3C2224A6"/>
    <w:rsid w:val="3C70450B"/>
    <w:rsid w:val="3C9138AE"/>
    <w:rsid w:val="3CB43D00"/>
    <w:rsid w:val="3CCB3B02"/>
    <w:rsid w:val="3CF34385"/>
    <w:rsid w:val="3D12080C"/>
    <w:rsid w:val="3D1C07F3"/>
    <w:rsid w:val="3D394692"/>
    <w:rsid w:val="3DA95162"/>
    <w:rsid w:val="3DD735D8"/>
    <w:rsid w:val="3DE96EFA"/>
    <w:rsid w:val="3DF41E25"/>
    <w:rsid w:val="3E2718F4"/>
    <w:rsid w:val="3E3143FD"/>
    <w:rsid w:val="3E345C13"/>
    <w:rsid w:val="3E751CB1"/>
    <w:rsid w:val="3EAF5926"/>
    <w:rsid w:val="3F0D6C18"/>
    <w:rsid w:val="3F4A0D63"/>
    <w:rsid w:val="3F795781"/>
    <w:rsid w:val="3FDF42F8"/>
    <w:rsid w:val="3FFC1207"/>
    <w:rsid w:val="408D49D2"/>
    <w:rsid w:val="40BE0934"/>
    <w:rsid w:val="40DE02EA"/>
    <w:rsid w:val="40DE0554"/>
    <w:rsid w:val="40E07056"/>
    <w:rsid w:val="41166258"/>
    <w:rsid w:val="412C4B51"/>
    <w:rsid w:val="414C7ECC"/>
    <w:rsid w:val="415B3478"/>
    <w:rsid w:val="41820542"/>
    <w:rsid w:val="419832E5"/>
    <w:rsid w:val="41AF46A4"/>
    <w:rsid w:val="4208360A"/>
    <w:rsid w:val="420A4E2D"/>
    <w:rsid w:val="421953E3"/>
    <w:rsid w:val="42593187"/>
    <w:rsid w:val="429D290A"/>
    <w:rsid w:val="42A4480D"/>
    <w:rsid w:val="42C35F92"/>
    <w:rsid w:val="430D71E7"/>
    <w:rsid w:val="432A7AFE"/>
    <w:rsid w:val="433410DF"/>
    <w:rsid w:val="43357C89"/>
    <w:rsid w:val="437A1721"/>
    <w:rsid w:val="43C93ED3"/>
    <w:rsid w:val="440B5E1C"/>
    <w:rsid w:val="44226E46"/>
    <w:rsid w:val="446B1A9A"/>
    <w:rsid w:val="450F49C7"/>
    <w:rsid w:val="451172DF"/>
    <w:rsid w:val="454974F5"/>
    <w:rsid w:val="45897A53"/>
    <w:rsid w:val="458A67C1"/>
    <w:rsid w:val="45B87CF9"/>
    <w:rsid w:val="46181EAA"/>
    <w:rsid w:val="461C7432"/>
    <w:rsid w:val="464D4281"/>
    <w:rsid w:val="4665005D"/>
    <w:rsid w:val="46BD0BC9"/>
    <w:rsid w:val="46FE1EDD"/>
    <w:rsid w:val="470A0F8D"/>
    <w:rsid w:val="47130CF1"/>
    <w:rsid w:val="472F3F39"/>
    <w:rsid w:val="47462BD6"/>
    <w:rsid w:val="47582944"/>
    <w:rsid w:val="476A2E5A"/>
    <w:rsid w:val="476C6EF4"/>
    <w:rsid w:val="479F5F50"/>
    <w:rsid w:val="47BA5452"/>
    <w:rsid w:val="47DF58F3"/>
    <w:rsid w:val="47FB4C38"/>
    <w:rsid w:val="485854A2"/>
    <w:rsid w:val="48BE7E6E"/>
    <w:rsid w:val="48F6071D"/>
    <w:rsid w:val="490B427D"/>
    <w:rsid w:val="491A2D44"/>
    <w:rsid w:val="491D5CAA"/>
    <w:rsid w:val="49374744"/>
    <w:rsid w:val="49677A99"/>
    <w:rsid w:val="496833C9"/>
    <w:rsid w:val="497E6ED0"/>
    <w:rsid w:val="49A11CDE"/>
    <w:rsid w:val="49D21196"/>
    <w:rsid w:val="49E8450A"/>
    <w:rsid w:val="4A08190C"/>
    <w:rsid w:val="4A1025FB"/>
    <w:rsid w:val="4AA42EEA"/>
    <w:rsid w:val="4ADA22A5"/>
    <w:rsid w:val="4B0E6733"/>
    <w:rsid w:val="4B2A0905"/>
    <w:rsid w:val="4B535C2B"/>
    <w:rsid w:val="4B6B3F67"/>
    <w:rsid w:val="4B826706"/>
    <w:rsid w:val="4B9C14D6"/>
    <w:rsid w:val="4BAC6642"/>
    <w:rsid w:val="4BB17F09"/>
    <w:rsid w:val="4BBA1ED6"/>
    <w:rsid w:val="4BE0566A"/>
    <w:rsid w:val="4C292726"/>
    <w:rsid w:val="4C3535E2"/>
    <w:rsid w:val="4C490B3D"/>
    <w:rsid w:val="4C9A598E"/>
    <w:rsid w:val="4CAB48D9"/>
    <w:rsid w:val="4CAC228D"/>
    <w:rsid w:val="4CB0723E"/>
    <w:rsid w:val="4D0F09AF"/>
    <w:rsid w:val="4D274B35"/>
    <w:rsid w:val="4D3E7F02"/>
    <w:rsid w:val="4D4E4A8B"/>
    <w:rsid w:val="4D7D5483"/>
    <w:rsid w:val="4D89777B"/>
    <w:rsid w:val="4DA83402"/>
    <w:rsid w:val="4DC04498"/>
    <w:rsid w:val="4DC40BA7"/>
    <w:rsid w:val="4DCA2901"/>
    <w:rsid w:val="4DCC54F6"/>
    <w:rsid w:val="4DF571F5"/>
    <w:rsid w:val="4E712D20"/>
    <w:rsid w:val="4EA82639"/>
    <w:rsid w:val="4EB71EA5"/>
    <w:rsid w:val="4EC628B4"/>
    <w:rsid w:val="4EC9027F"/>
    <w:rsid w:val="4ECB5A71"/>
    <w:rsid w:val="4EE42C67"/>
    <w:rsid w:val="4EE9193F"/>
    <w:rsid w:val="4F0352C5"/>
    <w:rsid w:val="4F0849D8"/>
    <w:rsid w:val="4F0911AA"/>
    <w:rsid w:val="4F0C1FC1"/>
    <w:rsid w:val="4F716CCC"/>
    <w:rsid w:val="4F74239C"/>
    <w:rsid w:val="4F7A6469"/>
    <w:rsid w:val="4F98106E"/>
    <w:rsid w:val="4FA21F75"/>
    <w:rsid w:val="50130B14"/>
    <w:rsid w:val="505229B1"/>
    <w:rsid w:val="50841890"/>
    <w:rsid w:val="508B1223"/>
    <w:rsid w:val="50C174A7"/>
    <w:rsid w:val="50C46E0E"/>
    <w:rsid w:val="51034DFE"/>
    <w:rsid w:val="51461658"/>
    <w:rsid w:val="51653EE0"/>
    <w:rsid w:val="51B8665F"/>
    <w:rsid w:val="51F04288"/>
    <w:rsid w:val="51F115BD"/>
    <w:rsid w:val="51F81C38"/>
    <w:rsid w:val="522747FF"/>
    <w:rsid w:val="52350D76"/>
    <w:rsid w:val="524D13AE"/>
    <w:rsid w:val="525D67B1"/>
    <w:rsid w:val="52E91C9B"/>
    <w:rsid w:val="533E5586"/>
    <w:rsid w:val="53543B36"/>
    <w:rsid w:val="53571FE7"/>
    <w:rsid w:val="535F4ECC"/>
    <w:rsid w:val="5366282A"/>
    <w:rsid w:val="539B6246"/>
    <w:rsid w:val="5424025F"/>
    <w:rsid w:val="543B102E"/>
    <w:rsid w:val="54680721"/>
    <w:rsid w:val="5476762C"/>
    <w:rsid w:val="54870F23"/>
    <w:rsid w:val="54D52E2E"/>
    <w:rsid w:val="55115EF0"/>
    <w:rsid w:val="553231BA"/>
    <w:rsid w:val="555550AA"/>
    <w:rsid w:val="557149A4"/>
    <w:rsid w:val="55764AB0"/>
    <w:rsid w:val="558621A2"/>
    <w:rsid w:val="559A1F6D"/>
    <w:rsid w:val="55C40DA1"/>
    <w:rsid w:val="56217A8C"/>
    <w:rsid w:val="562B3530"/>
    <w:rsid w:val="566D4373"/>
    <w:rsid w:val="569A686C"/>
    <w:rsid w:val="569E48CE"/>
    <w:rsid w:val="56C81B8C"/>
    <w:rsid w:val="56E66192"/>
    <w:rsid w:val="56F77EDA"/>
    <w:rsid w:val="571D2863"/>
    <w:rsid w:val="572226D3"/>
    <w:rsid w:val="57380B54"/>
    <w:rsid w:val="575C7B33"/>
    <w:rsid w:val="577A502B"/>
    <w:rsid w:val="578D5422"/>
    <w:rsid w:val="57F76A39"/>
    <w:rsid w:val="58297857"/>
    <w:rsid w:val="586B5166"/>
    <w:rsid w:val="588365E0"/>
    <w:rsid w:val="58DF61BA"/>
    <w:rsid w:val="591034FF"/>
    <w:rsid w:val="59214FA3"/>
    <w:rsid w:val="59335EB4"/>
    <w:rsid w:val="59D51B51"/>
    <w:rsid w:val="59E843FC"/>
    <w:rsid w:val="5A1027A7"/>
    <w:rsid w:val="5A1530F9"/>
    <w:rsid w:val="5A323C8F"/>
    <w:rsid w:val="5A8838FD"/>
    <w:rsid w:val="5ADC59C5"/>
    <w:rsid w:val="5AEB044B"/>
    <w:rsid w:val="5AF759CC"/>
    <w:rsid w:val="5B05715F"/>
    <w:rsid w:val="5B2420C5"/>
    <w:rsid w:val="5B4F584D"/>
    <w:rsid w:val="5B645FAF"/>
    <w:rsid w:val="5B820399"/>
    <w:rsid w:val="5BEC5F82"/>
    <w:rsid w:val="5C02145B"/>
    <w:rsid w:val="5C781196"/>
    <w:rsid w:val="5C832063"/>
    <w:rsid w:val="5CBB2B03"/>
    <w:rsid w:val="5D0F4BA2"/>
    <w:rsid w:val="5D7662A0"/>
    <w:rsid w:val="5D924A61"/>
    <w:rsid w:val="5D995B67"/>
    <w:rsid w:val="5DCE63A1"/>
    <w:rsid w:val="5DDD6EE9"/>
    <w:rsid w:val="5E3B3315"/>
    <w:rsid w:val="5E4F2FB8"/>
    <w:rsid w:val="5E53552F"/>
    <w:rsid w:val="5E5B388D"/>
    <w:rsid w:val="5E606B86"/>
    <w:rsid w:val="5E6517EE"/>
    <w:rsid w:val="5E77137F"/>
    <w:rsid w:val="5E8E0F61"/>
    <w:rsid w:val="5EBD3CE8"/>
    <w:rsid w:val="5ED9087C"/>
    <w:rsid w:val="5F4D4A3E"/>
    <w:rsid w:val="5F6754F5"/>
    <w:rsid w:val="5F6F6A19"/>
    <w:rsid w:val="5F92307D"/>
    <w:rsid w:val="5FAB6F5D"/>
    <w:rsid w:val="60383B6C"/>
    <w:rsid w:val="60664A5D"/>
    <w:rsid w:val="606745F8"/>
    <w:rsid w:val="608948B9"/>
    <w:rsid w:val="608D150F"/>
    <w:rsid w:val="609738A6"/>
    <w:rsid w:val="60A46E44"/>
    <w:rsid w:val="612860FE"/>
    <w:rsid w:val="61503859"/>
    <w:rsid w:val="61777079"/>
    <w:rsid w:val="619E67BE"/>
    <w:rsid w:val="61D96E48"/>
    <w:rsid w:val="61EA3EE5"/>
    <w:rsid w:val="622A2075"/>
    <w:rsid w:val="62530491"/>
    <w:rsid w:val="62716A39"/>
    <w:rsid w:val="6294286F"/>
    <w:rsid w:val="62C42F92"/>
    <w:rsid w:val="62CD211A"/>
    <w:rsid w:val="62F5043D"/>
    <w:rsid w:val="62FF5690"/>
    <w:rsid w:val="630C0710"/>
    <w:rsid w:val="630E1C76"/>
    <w:rsid w:val="6325771D"/>
    <w:rsid w:val="63896A4E"/>
    <w:rsid w:val="63AF7354"/>
    <w:rsid w:val="63D258B1"/>
    <w:rsid w:val="642D6665"/>
    <w:rsid w:val="64522996"/>
    <w:rsid w:val="64645D98"/>
    <w:rsid w:val="64BD6867"/>
    <w:rsid w:val="65776718"/>
    <w:rsid w:val="65C33BE4"/>
    <w:rsid w:val="65C3635F"/>
    <w:rsid w:val="65F00B62"/>
    <w:rsid w:val="6623087F"/>
    <w:rsid w:val="66427896"/>
    <w:rsid w:val="665E7634"/>
    <w:rsid w:val="66C54402"/>
    <w:rsid w:val="67355CB3"/>
    <w:rsid w:val="67424962"/>
    <w:rsid w:val="674317B9"/>
    <w:rsid w:val="6758174D"/>
    <w:rsid w:val="675957E9"/>
    <w:rsid w:val="677901CF"/>
    <w:rsid w:val="67B11F87"/>
    <w:rsid w:val="67CC4993"/>
    <w:rsid w:val="67F51648"/>
    <w:rsid w:val="68464454"/>
    <w:rsid w:val="687C07E7"/>
    <w:rsid w:val="688775AE"/>
    <w:rsid w:val="68A062B0"/>
    <w:rsid w:val="68C41703"/>
    <w:rsid w:val="68E51738"/>
    <w:rsid w:val="68E5638C"/>
    <w:rsid w:val="68EC3B5A"/>
    <w:rsid w:val="69136A00"/>
    <w:rsid w:val="691D154A"/>
    <w:rsid w:val="691D2268"/>
    <w:rsid w:val="693064A3"/>
    <w:rsid w:val="694B0F7D"/>
    <w:rsid w:val="6985792C"/>
    <w:rsid w:val="69A322A7"/>
    <w:rsid w:val="6A3749C6"/>
    <w:rsid w:val="6A555CDF"/>
    <w:rsid w:val="6A672C8B"/>
    <w:rsid w:val="6ABC0D1E"/>
    <w:rsid w:val="6ACF2F23"/>
    <w:rsid w:val="6B003742"/>
    <w:rsid w:val="6B1736E2"/>
    <w:rsid w:val="6B313E1E"/>
    <w:rsid w:val="6B6C6D40"/>
    <w:rsid w:val="6B8F4457"/>
    <w:rsid w:val="6BE6220E"/>
    <w:rsid w:val="6BEA673A"/>
    <w:rsid w:val="6C074DA6"/>
    <w:rsid w:val="6C557385"/>
    <w:rsid w:val="6CD875A0"/>
    <w:rsid w:val="6CFD5EF0"/>
    <w:rsid w:val="6D03257C"/>
    <w:rsid w:val="6D5C55BF"/>
    <w:rsid w:val="6D704A28"/>
    <w:rsid w:val="6DF02040"/>
    <w:rsid w:val="6E010FED"/>
    <w:rsid w:val="6E014538"/>
    <w:rsid w:val="6E18728E"/>
    <w:rsid w:val="6E3E2172"/>
    <w:rsid w:val="6E7D516A"/>
    <w:rsid w:val="6E8A4A8E"/>
    <w:rsid w:val="6E9310B7"/>
    <w:rsid w:val="6EA40C55"/>
    <w:rsid w:val="6EBB011F"/>
    <w:rsid w:val="6F334E84"/>
    <w:rsid w:val="6F4D60ED"/>
    <w:rsid w:val="6F9B77A5"/>
    <w:rsid w:val="70396319"/>
    <w:rsid w:val="704B2EF4"/>
    <w:rsid w:val="70CC52F3"/>
    <w:rsid w:val="70DA1FF6"/>
    <w:rsid w:val="710D712B"/>
    <w:rsid w:val="711A0B9D"/>
    <w:rsid w:val="71274F65"/>
    <w:rsid w:val="717E4F12"/>
    <w:rsid w:val="71AF3687"/>
    <w:rsid w:val="71B12ABF"/>
    <w:rsid w:val="722877C7"/>
    <w:rsid w:val="725A041D"/>
    <w:rsid w:val="7265600B"/>
    <w:rsid w:val="72B63D18"/>
    <w:rsid w:val="72CB3A50"/>
    <w:rsid w:val="72CC236B"/>
    <w:rsid w:val="72D11B2B"/>
    <w:rsid w:val="72EC0A04"/>
    <w:rsid w:val="73152B01"/>
    <w:rsid w:val="7343527A"/>
    <w:rsid w:val="73446CB1"/>
    <w:rsid w:val="736357ED"/>
    <w:rsid w:val="73B74D8F"/>
    <w:rsid w:val="73BE5C7A"/>
    <w:rsid w:val="743E60E6"/>
    <w:rsid w:val="74483532"/>
    <w:rsid w:val="748A04D5"/>
    <w:rsid w:val="753E1B30"/>
    <w:rsid w:val="75634769"/>
    <w:rsid w:val="75705BEC"/>
    <w:rsid w:val="757F5473"/>
    <w:rsid w:val="75DE010F"/>
    <w:rsid w:val="760C527C"/>
    <w:rsid w:val="761E1EED"/>
    <w:rsid w:val="762A0D91"/>
    <w:rsid w:val="768F5967"/>
    <w:rsid w:val="769E265B"/>
    <w:rsid w:val="76D812DE"/>
    <w:rsid w:val="77005D5C"/>
    <w:rsid w:val="770B16B4"/>
    <w:rsid w:val="77774AB1"/>
    <w:rsid w:val="778B25A7"/>
    <w:rsid w:val="77B26F52"/>
    <w:rsid w:val="77BF4526"/>
    <w:rsid w:val="78144598"/>
    <w:rsid w:val="7826188E"/>
    <w:rsid w:val="7828580D"/>
    <w:rsid w:val="786316D2"/>
    <w:rsid w:val="78673E2C"/>
    <w:rsid w:val="78805D52"/>
    <w:rsid w:val="789E78DD"/>
    <w:rsid w:val="78BC0B4F"/>
    <w:rsid w:val="78BD2ADA"/>
    <w:rsid w:val="78E771CC"/>
    <w:rsid w:val="78FE327B"/>
    <w:rsid w:val="791345F3"/>
    <w:rsid w:val="792F0F95"/>
    <w:rsid w:val="796E1A86"/>
    <w:rsid w:val="798E76EC"/>
    <w:rsid w:val="79921F34"/>
    <w:rsid w:val="79F22BEA"/>
    <w:rsid w:val="7AE05D48"/>
    <w:rsid w:val="7AEA15E0"/>
    <w:rsid w:val="7AF53A0A"/>
    <w:rsid w:val="7AFB3A80"/>
    <w:rsid w:val="7AFC24C0"/>
    <w:rsid w:val="7B262D56"/>
    <w:rsid w:val="7B373E6E"/>
    <w:rsid w:val="7B5B14B4"/>
    <w:rsid w:val="7B5C566A"/>
    <w:rsid w:val="7B7F3725"/>
    <w:rsid w:val="7BB0700B"/>
    <w:rsid w:val="7BE35039"/>
    <w:rsid w:val="7BE35BD4"/>
    <w:rsid w:val="7BE57560"/>
    <w:rsid w:val="7C1233E1"/>
    <w:rsid w:val="7C440367"/>
    <w:rsid w:val="7C8F1986"/>
    <w:rsid w:val="7CB542E6"/>
    <w:rsid w:val="7CCA2FB5"/>
    <w:rsid w:val="7CD03AC1"/>
    <w:rsid w:val="7D3A1A54"/>
    <w:rsid w:val="7D4E3344"/>
    <w:rsid w:val="7D510E31"/>
    <w:rsid w:val="7D5D01D8"/>
    <w:rsid w:val="7DE32D8B"/>
    <w:rsid w:val="7E1F4041"/>
    <w:rsid w:val="7E3C3380"/>
    <w:rsid w:val="7E455125"/>
    <w:rsid w:val="7E652799"/>
    <w:rsid w:val="7E674FFD"/>
    <w:rsid w:val="7EBE259E"/>
    <w:rsid w:val="7F01514B"/>
    <w:rsid w:val="7F4E6B32"/>
    <w:rsid w:val="7FB6714D"/>
    <w:rsid w:val="7FBA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rPr>
      <w:rFonts w:asciiTheme="minorHAnsi" w:hAnsiTheme="minorHAnsi" w:eastAsiaTheme="minorEastAsia" w:cstheme="minorBidi"/>
      <w:sz w:val="18"/>
      <w:szCs w:val="22"/>
    </w:rPr>
  </w:style>
  <w:style w:type="paragraph" w:styleId="9">
    <w:name w:val="Body Text"/>
    <w:basedOn w:val="1"/>
    <w:next w:val="1"/>
    <w:qFormat/>
    <w:uiPriority w:val="0"/>
    <w:pPr>
      <w:spacing w:after="120"/>
    </w:pPr>
  </w:style>
  <w:style w:type="paragraph" w:styleId="10">
    <w:name w:val="Body Text Indent"/>
    <w:basedOn w:val="1"/>
    <w:link w:val="42"/>
    <w:qFormat/>
    <w:uiPriority w:val="0"/>
    <w:pPr>
      <w:ind w:firstLine="630"/>
    </w:pPr>
    <w:rPr>
      <w:rFonts w:ascii="Times New Roman" w:hAnsi="Times New Roman" w:eastAsia="宋体" w:cs="Times New Roman"/>
      <w:sz w:val="32"/>
      <w:szCs w:val="20"/>
    </w:rPr>
  </w:style>
  <w:style w:type="paragraph" w:styleId="11">
    <w:name w:val="toc 3"/>
    <w:basedOn w:val="1"/>
    <w:next w:val="1"/>
    <w:unhideWhenUsed/>
    <w:qFormat/>
    <w:uiPriority w:val="39"/>
    <w:pPr>
      <w:widowControl/>
      <w:spacing w:after="100" w:line="259" w:lineRule="auto"/>
      <w:ind w:left="440"/>
      <w:jc w:val="left"/>
    </w:pPr>
    <w:rPr>
      <w:rFonts w:cs="Times New Roman"/>
      <w:kern w:val="0"/>
      <w:sz w:val="22"/>
    </w:rPr>
  </w:style>
  <w:style w:type="paragraph" w:styleId="12">
    <w:name w:val="Plain Text"/>
    <w:basedOn w:val="1"/>
    <w:qFormat/>
    <w:uiPriority w:val="0"/>
    <w:pPr>
      <w:autoSpaceDE w:val="0"/>
      <w:autoSpaceDN w:val="0"/>
      <w:adjustRightInd w:val="0"/>
    </w:pPr>
    <w:rPr>
      <w:rFonts w:ascii="宋体" w:hAnsi="Tms Rmn" w:cstheme="minorBidi"/>
      <w:szCs w:val="22"/>
    </w:rPr>
  </w:style>
  <w:style w:type="paragraph" w:styleId="13">
    <w:name w:val="Date"/>
    <w:basedOn w:val="1"/>
    <w:next w:val="1"/>
    <w:link w:val="41"/>
    <w:semiHidden/>
    <w:unhideWhenUsed/>
    <w:qFormat/>
    <w:uiPriority w:val="99"/>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38"/>
    <w:semiHidden/>
    <w:unhideWhenUsed/>
    <w:qFormat/>
    <w:uiPriority w:val="99"/>
    <w:rPr>
      <w:sz w:val="18"/>
      <w:szCs w:val="18"/>
    </w:rPr>
  </w:style>
  <w:style w:type="paragraph" w:styleId="16">
    <w:name w:val="footer"/>
    <w:basedOn w:val="1"/>
    <w:link w:val="40"/>
    <w:unhideWhenUsed/>
    <w:qFormat/>
    <w:uiPriority w:val="99"/>
    <w:pPr>
      <w:tabs>
        <w:tab w:val="center" w:pos="4153"/>
        <w:tab w:val="right" w:pos="8306"/>
      </w:tabs>
      <w:snapToGrid w:val="0"/>
      <w:jc w:val="left"/>
    </w:pPr>
    <w:rPr>
      <w:sz w:val="18"/>
      <w:szCs w:val="18"/>
    </w:rPr>
  </w:style>
  <w:style w:type="paragraph" w:styleId="17">
    <w:name w:val="header"/>
    <w:basedOn w:val="1"/>
    <w:next w:val="9"/>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Subtitle"/>
    <w:basedOn w:val="1"/>
    <w:next w:val="1"/>
    <w:qFormat/>
    <w:uiPriority w:val="0"/>
    <w:rPr>
      <w:kern w:val="2"/>
      <w:sz w:val="28"/>
    </w:rPr>
  </w:style>
  <w:style w:type="paragraph" w:styleId="20">
    <w:name w:val="toc 2"/>
    <w:basedOn w:val="1"/>
    <w:next w:val="1"/>
    <w:unhideWhenUsed/>
    <w:qFormat/>
    <w:uiPriority w:val="39"/>
    <w:pPr>
      <w:widowControl/>
      <w:spacing w:after="100" w:line="259" w:lineRule="auto"/>
      <w:ind w:left="220"/>
      <w:jc w:val="left"/>
    </w:pPr>
    <w:rPr>
      <w:rFonts w:cs="Times New Roman"/>
      <w:kern w:val="0"/>
      <w:sz w:val="22"/>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22">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3">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4">
    <w:name w:val="Body Text First Indent"/>
    <w:basedOn w:val="9"/>
    <w:qFormat/>
    <w:uiPriority w:val="0"/>
    <w:pPr>
      <w:spacing w:line="360" w:lineRule="auto"/>
      <w:ind w:firstLine="420"/>
    </w:pPr>
    <w:rPr>
      <w:rFonts w:ascii="宋体" w:hAnsi="宋体"/>
      <w:sz w:val="24"/>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customStyle="1" w:styleId="31">
    <w:name w:val="标题 1 字符"/>
    <w:basedOn w:val="27"/>
    <w:link w:val="2"/>
    <w:qFormat/>
    <w:uiPriority w:val="9"/>
    <w:rPr>
      <w:b/>
      <w:bCs/>
      <w:kern w:val="44"/>
      <w:sz w:val="44"/>
      <w:szCs w:val="44"/>
    </w:rPr>
  </w:style>
  <w:style w:type="paragraph" w:customStyle="1" w:styleId="32">
    <w:name w:val="标题 5（有编号）（绿盟科技）"/>
    <w:basedOn w:val="33"/>
    <w:next w:val="34"/>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5">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36">
    <w:name w:val="文档正文"/>
    <w:basedOn w:val="1"/>
    <w:qFormat/>
    <w:uiPriority w:val="0"/>
    <w:pPr>
      <w:adjustRightInd w:val="0"/>
      <w:spacing w:line="480" w:lineRule="atLeast"/>
      <w:textAlignment w:val="baseline"/>
    </w:pPr>
    <w:rPr>
      <w:rFonts w:ascii="Arial" w:hAnsi="Arial"/>
      <w:kern w:val="0"/>
    </w:rPr>
  </w:style>
  <w:style w:type="paragraph" w:customStyle="1" w:styleId="3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批注框文本 字符"/>
    <w:basedOn w:val="27"/>
    <w:link w:val="15"/>
    <w:semiHidden/>
    <w:qFormat/>
    <w:uiPriority w:val="99"/>
    <w:rPr>
      <w:sz w:val="18"/>
      <w:szCs w:val="18"/>
    </w:rPr>
  </w:style>
  <w:style w:type="character" w:customStyle="1" w:styleId="39">
    <w:name w:val="页眉 字符"/>
    <w:basedOn w:val="27"/>
    <w:link w:val="17"/>
    <w:qFormat/>
    <w:uiPriority w:val="99"/>
    <w:rPr>
      <w:sz w:val="18"/>
      <w:szCs w:val="18"/>
    </w:rPr>
  </w:style>
  <w:style w:type="character" w:customStyle="1" w:styleId="40">
    <w:name w:val="页脚 字符"/>
    <w:basedOn w:val="27"/>
    <w:link w:val="16"/>
    <w:qFormat/>
    <w:uiPriority w:val="99"/>
    <w:rPr>
      <w:sz w:val="18"/>
      <w:szCs w:val="18"/>
    </w:rPr>
  </w:style>
  <w:style w:type="character" w:customStyle="1" w:styleId="41">
    <w:name w:val="日期 字符"/>
    <w:basedOn w:val="27"/>
    <w:link w:val="13"/>
    <w:semiHidden/>
    <w:qFormat/>
    <w:uiPriority w:val="99"/>
  </w:style>
  <w:style w:type="character" w:customStyle="1" w:styleId="42">
    <w:name w:val="正文文本缩进 字符"/>
    <w:basedOn w:val="27"/>
    <w:link w:val="10"/>
    <w:qFormat/>
    <w:uiPriority w:val="0"/>
    <w:rPr>
      <w:rFonts w:ascii="Times New Roman" w:hAnsi="Times New Roman" w:eastAsia="宋体" w:cs="Times New Roman"/>
      <w:sz w:val="32"/>
      <w:szCs w:val="20"/>
    </w:rPr>
  </w:style>
  <w:style w:type="paragraph" w:customStyle="1" w:styleId="43">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styleId="44">
    <w:name w:val="List Paragraph"/>
    <w:basedOn w:val="1"/>
    <w:qFormat/>
    <w:uiPriority w:val="34"/>
    <w:pPr>
      <w:ind w:firstLine="420" w:firstLineChars="200"/>
    </w:pPr>
  </w:style>
  <w:style w:type="character" w:customStyle="1" w:styleId="45">
    <w:name w:val="标题 3 字符"/>
    <w:basedOn w:val="27"/>
    <w:link w:val="4"/>
    <w:qFormat/>
    <w:uiPriority w:val="0"/>
    <w:rPr>
      <w:rFonts w:ascii="Times New Roman" w:hAnsi="Times New Roman" w:eastAsia="宋体" w:cs="Times New Roman"/>
      <w:b/>
      <w:bCs/>
      <w:sz w:val="32"/>
      <w:szCs w:val="32"/>
    </w:rPr>
  </w:style>
  <w:style w:type="paragraph" w:customStyle="1" w:styleId="46">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47">
    <w:name w:val="Unresolved Mention"/>
    <w:basedOn w:val="27"/>
    <w:semiHidden/>
    <w:unhideWhenUsed/>
    <w:qFormat/>
    <w:uiPriority w:val="99"/>
    <w:rPr>
      <w:color w:val="605E5C"/>
      <w:shd w:val="clear" w:color="auto" w:fill="E1DFDD"/>
    </w:rPr>
  </w:style>
  <w:style w:type="paragraph" w:customStyle="1" w:styleId="48">
    <w:name w:val="Default"/>
    <w:link w:val="49"/>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49">
    <w:name w:val="Default Char"/>
    <w:link w:val="48"/>
    <w:qFormat/>
    <w:uiPriority w:val="0"/>
    <w:rPr>
      <w:rFonts w:ascii="宋体" w:hAnsi="Times New Roman" w:eastAsia="宋体" w:cs="宋体"/>
      <w:color w:val="000000"/>
      <w:kern w:val="0"/>
      <w:sz w:val="24"/>
      <w:szCs w:val="24"/>
    </w:rPr>
  </w:style>
  <w:style w:type="paragraph" w:customStyle="1" w:styleId="50">
    <w:name w:val="Normal_0"/>
    <w:qFormat/>
    <w:uiPriority w:val="0"/>
    <w:rPr>
      <w:rFonts w:ascii="Times New Roman" w:hAnsi="Times New Roman" w:eastAsia="Times New Roman" w:cs="Times New Roman"/>
      <w:kern w:val="0"/>
      <w:sz w:val="24"/>
      <w:szCs w:val="24"/>
      <w:lang w:val="en-US" w:eastAsia="zh-CN" w:bidi="ar-SA"/>
    </w:rPr>
  </w:style>
  <w:style w:type="paragraph" w:customStyle="1" w:styleId="51">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2">
    <w:name w:val="列出段落1"/>
    <w:basedOn w:val="1"/>
    <w:qFormat/>
    <w:uiPriority w:val="0"/>
    <w:pPr>
      <w:ind w:firstLine="420" w:firstLineChars="200"/>
    </w:pPr>
    <w:rPr>
      <w:szCs w:val="24"/>
    </w:rPr>
  </w:style>
  <w:style w:type="paragraph" w:customStyle="1" w:styleId="53">
    <w:name w:val="样式 首行缩进:  2 字符"/>
    <w:basedOn w:val="1"/>
    <w:qFormat/>
    <w:uiPriority w:val="0"/>
    <w:pPr>
      <w:spacing w:line="400" w:lineRule="exact"/>
      <w:ind w:firstLine="200" w:firstLineChars="200"/>
    </w:pPr>
    <w:rPr>
      <w:rFonts w:cs="宋体"/>
      <w:sz w:val="24"/>
    </w:rPr>
  </w:style>
  <w:style w:type="paragraph" w:customStyle="1" w:styleId="54">
    <w:name w:val="表格"/>
    <w:basedOn w:val="1"/>
    <w:qFormat/>
    <w:uiPriority w:val="0"/>
    <w:pPr>
      <w:spacing w:line="400" w:lineRule="exact"/>
    </w:pPr>
    <w:rPr>
      <w:sz w:val="24"/>
      <w:szCs w:val="24"/>
    </w:rPr>
  </w:style>
  <w:style w:type="paragraph" w:customStyle="1" w:styleId="55">
    <w:name w:val="WPSOffice手动目录 1"/>
    <w:qFormat/>
    <w:uiPriority w:val="0"/>
    <w:pPr>
      <w:ind w:leftChars="0"/>
    </w:pPr>
    <w:rPr>
      <w:rFonts w:ascii="Times New Roman" w:hAnsi="Times New Roman" w:eastAsia="宋体" w:cs="Times New Roman"/>
      <w:sz w:val="20"/>
      <w:szCs w:val="20"/>
    </w:rPr>
  </w:style>
  <w:style w:type="paragraph" w:customStyle="1" w:styleId="56">
    <w:name w:val="Normal"/>
    <w:qFormat/>
    <w:uiPriority w:val="0"/>
    <w:pPr>
      <w:widowControl w:val="0"/>
      <w:adjustRightInd w:val="0"/>
      <w:spacing w:line="312" w:lineRule="atLeast"/>
      <w:jc w:val="both"/>
      <w:textAlignment w:val="baseline"/>
    </w:pPr>
    <w:rPr>
      <w:rFonts w:ascii="宋体" w:hAnsi="等线" w:eastAsia="等线" w:cs="Times New Roman"/>
      <w:sz w:val="34"/>
      <w:lang w:val="en-US" w:eastAsia="zh-CN" w:bidi="ar-SA"/>
    </w:rPr>
  </w:style>
  <w:style w:type="paragraph" w:customStyle="1" w:styleId="57">
    <w:name w:val="段落正文"/>
    <w:basedOn w:val="1"/>
    <w:qFormat/>
    <w:uiPriority w:val="0"/>
    <w:pPr>
      <w:spacing w:beforeLines="50" w:line="360" w:lineRule="auto"/>
      <w:ind w:firstLine="200" w:firstLineChars="200"/>
    </w:pPr>
    <w:rPr>
      <w:spacing w:val="2"/>
      <w:sz w:val="24"/>
      <w:szCs w:val="20"/>
    </w:rPr>
  </w:style>
  <w:style w:type="paragraph" w:customStyle="1" w:styleId="58">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59">
    <w:name w:val="标题 2 Char1"/>
    <w:link w:val="3"/>
    <w:qFormat/>
    <w:uiPriority w:val="0"/>
    <w:rPr>
      <w:rFonts w:ascii="Arial" w:hAnsi="Arial" w:eastAsia="黑体"/>
      <w:b/>
      <w:bCs/>
      <w:sz w:val="32"/>
      <w:szCs w:val="32"/>
    </w:rPr>
  </w:style>
  <w:style w:type="table" w:customStyle="1" w:styleId="60">
    <w:name w:val="Table Normal"/>
    <w:semiHidden/>
    <w:unhideWhenUsed/>
    <w:qFormat/>
    <w:uiPriority w:val="0"/>
    <w:tblPr>
      <w:tblCellMar>
        <w:top w:w="0" w:type="dxa"/>
        <w:left w:w="0" w:type="dxa"/>
        <w:bottom w:w="0" w:type="dxa"/>
        <w:right w:w="0" w:type="dxa"/>
      </w:tblCellMar>
    </w:tblPr>
  </w:style>
  <w:style w:type="character" w:customStyle="1" w:styleId="61">
    <w:name w:val="font01"/>
    <w:basedOn w:val="27"/>
    <w:qFormat/>
    <w:uiPriority w:val="0"/>
    <w:rPr>
      <w:rFonts w:hint="eastAsia" w:ascii="宋体" w:hAnsi="宋体" w:eastAsia="宋体" w:cs="宋体"/>
      <w:color w:val="000000"/>
      <w:sz w:val="24"/>
      <w:szCs w:val="24"/>
      <w:u w:val="none"/>
    </w:rPr>
  </w:style>
  <w:style w:type="paragraph" w:customStyle="1" w:styleId="62">
    <w:name w:val="null3"/>
    <w:hidden/>
    <w:qFormat/>
    <w:uiPriority w:val="0"/>
    <w:rPr>
      <w:rFonts w:hint="eastAsia" w:asciiTheme="minorHAnsi" w:hAnsiTheme="minorHAnsi" w:eastAsiaTheme="minorEastAsia" w:cstheme="minorBidi"/>
      <w:lang w:val="en-US" w:eastAsia="zh-Hans"/>
    </w:rPr>
  </w:style>
  <w:style w:type="paragraph" w:customStyle="1" w:styleId="63">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CEB55-F1C8-46AF-B997-3F6499B7070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64</Pages>
  <Words>1455</Words>
  <Characters>1705</Characters>
  <Lines>262</Lines>
  <Paragraphs>73</Paragraphs>
  <TotalTime>5</TotalTime>
  <ScaleCrop>false</ScaleCrop>
  <LinksUpToDate>false</LinksUpToDate>
  <CharactersWithSpaces>1745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2015-05-26T03:21:00Z</dcterms:created>
  <dc:creator>Zh</dc:creator>
  <cp:lastModifiedBy>计财与招标18</cp:lastModifiedBy>
  <cp:lastPrinted>2022-03-23T09:18:00Z</cp:lastPrinted>
  <dcterms:modified xsi:type="dcterms:W3CDTF">2025-03-25T07:10:11Z</dcterms:modified>
  <cp:revision>1565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E045A6A9488C417093F4618D9610065D_13</vt:lpwstr>
  </property>
  <property fmtid="{D5CDD505-2E9C-101B-9397-08002B2CF9AE}" pid="4" name="KSOTemplateDocerSaveRecord">
    <vt:lpwstr>eyJoZGlkIjoiMTc3OTk2ZWI1Yzg1NDhkMzI4NWZlOWY2ZjQwYTI0NTQiLCJ1c2VySWQiOiIxNjcwMTM4OTI5In0=</vt:lpwstr>
  </property>
</Properties>
</file>