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1E3D0">
      <w:pPr>
        <w:adjustRightInd w:val="0"/>
        <w:snapToGrid w:val="0"/>
        <w:spacing w:before="624" w:beforeLines="200" w:line="360" w:lineRule="auto"/>
        <w:jc w:val="center"/>
        <w:rPr>
          <w:rFonts w:hint="default" w:ascii="微软雅黑" w:hAnsi="微软雅黑" w:eastAsia="微软雅黑" w:cs="微软雅黑"/>
          <w:b/>
          <w:bCs w:val="0"/>
          <w:color w:val="auto"/>
          <w:sz w:val="36"/>
          <w:szCs w:val="36"/>
          <w:highlight w:val="none"/>
          <w:lang w:val="en-US" w:eastAsia="zh-CN"/>
        </w:rPr>
      </w:pPr>
      <w:r>
        <w:rPr>
          <w:rFonts w:hint="eastAsia" w:ascii="微软雅黑" w:hAnsi="微软雅黑" w:eastAsia="微软雅黑" w:cs="微软雅黑"/>
          <w:b/>
          <w:bCs w:val="0"/>
          <w:color w:val="auto"/>
          <w:sz w:val="36"/>
          <w:szCs w:val="36"/>
          <w:highlight w:val="none"/>
          <w:lang w:val="en-US" w:eastAsia="zh-CN"/>
        </w:rPr>
        <w:t>项目编号：HT-【采】20241106</w:t>
      </w:r>
    </w:p>
    <w:p w14:paraId="0C8C46D2">
      <w:pPr>
        <w:jc w:val="center"/>
        <w:rPr>
          <w:rFonts w:hint="eastAsia" w:ascii="微软雅黑" w:hAnsi="微软雅黑" w:eastAsia="微软雅黑" w:cs="微软雅黑"/>
          <w:b/>
          <w:bCs w:val="0"/>
          <w:color w:val="auto"/>
          <w:sz w:val="52"/>
          <w:szCs w:val="52"/>
          <w:highlight w:val="none"/>
          <w:lang w:val="en-US" w:eastAsia="zh-CN"/>
        </w:rPr>
      </w:pPr>
      <w:r>
        <w:rPr>
          <w:rFonts w:hint="eastAsia" w:ascii="微软雅黑" w:hAnsi="微软雅黑" w:eastAsia="微软雅黑" w:cs="微软雅黑"/>
          <w:b/>
          <w:bCs w:val="0"/>
          <w:color w:val="auto"/>
          <w:sz w:val="52"/>
          <w:szCs w:val="52"/>
          <w:highlight w:val="none"/>
          <w:lang w:val="en-US" w:eastAsia="zh-CN"/>
        </w:rPr>
        <w:t>成都市技师学院郫都西校区工匠文化教育博览园铁道文化建设项目</w:t>
      </w:r>
    </w:p>
    <w:p w14:paraId="53DA0259">
      <w:pPr>
        <w:pStyle w:val="9"/>
        <w:rPr>
          <w:rFonts w:hint="eastAsia"/>
          <w:highlight w:val="none"/>
          <w:lang w:val="en-US" w:eastAsia="zh-CN"/>
        </w:rPr>
      </w:pPr>
    </w:p>
    <w:p w14:paraId="2B047BB0">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磋</w:t>
      </w:r>
    </w:p>
    <w:p w14:paraId="73502C4F">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商</w:t>
      </w:r>
    </w:p>
    <w:p w14:paraId="3934C613">
      <w:pPr>
        <w:jc w:val="center"/>
        <w:rPr>
          <w:rFonts w:hint="eastAsia" w:ascii="微软雅黑" w:hAnsi="微软雅黑" w:eastAsia="微软雅黑" w:cs="微软雅黑"/>
          <w:b/>
          <w:bCs/>
          <w:sz w:val="72"/>
          <w:szCs w:val="72"/>
          <w:highlight w:val="none"/>
        </w:rPr>
      </w:pPr>
      <w:r>
        <w:rPr>
          <w:rFonts w:hint="eastAsia" w:ascii="微软雅黑" w:hAnsi="微软雅黑" w:eastAsia="微软雅黑" w:cs="微软雅黑"/>
          <w:b/>
          <w:bCs/>
          <w:sz w:val="72"/>
          <w:szCs w:val="72"/>
          <w:highlight w:val="none"/>
        </w:rPr>
        <w:t>文</w:t>
      </w:r>
    </w:p>
    <w:p w14:paraId="01EF5DE6">
      <w:pPr>
        <w:jc w:val="center"/>
        <w:rPr>
          <w:rFonts w:hint="eastAsia" w:ascii="微软雅黑" w:hAnsi="微软雅黑" w:eastAsia="微软雅黑" w:cs="微软雅黑"/>
          <w:sz w:val="24"/>
          <w:szCs w:val="28"/>
          <w:highlight w:val="none"/>
        </w:rPr>
      </w:pPr>
      <w:r>
        <w:rPr>
          <w:rFonts w:hint="eastAsia" w:ascii="微软雅黑" w:hAnsi="微软雅黑" w:eastAsia="微软雅黑" w:cs="微软雅黑"/>
          <w:b/>
          <w:bCs/>
          <w:sz w:val="72"/>
          <w:szCs w:val="72"/>
          <w:highlight w:val="none"/>
        </w:rPr>
        <w:t>件</w:t>
      </w:r>
    </w:p>
    <w:p w14:paraId="604F11F6">
      <w:pPr>
        <w:spacing w:line="360" w:lineRule="auto"/>
        <w:jc w:val="both"/>
        <w:rPr>
          <w:rFonts w:hint="eastAsia" w:ascii="微软雅黑" w:hAnsi="微软雅黑" w:eastAsia="微软雅黑" w:cs="微软雅黑"/>
          <w:b/>
          <w:bCs/>
          <w:sz w:val="32"/>
          <w:szCs w:val="32"/>
          <w:highlight w:val="none"/>
          <w:lang w:eastAsia="zh-CN"/>
        </w:rPr>
      </w:pPr>
    </w:p>
    <w:p w14:paraId="2AD3E2BB">
      <w:pPr>
        <w:spacing w:line="360" w:lineRule="auto"/>
        <w:jc w:val="both"/>
        <w:rPr>
          <w:rFonts w:hint="eastAsia" w:ascii="微软雅黑" w:hAnsi="微软雅黑" w:eastAsia="微软雅黑" w:cs="微软雅黑"/>
          <w:b/>
          <w:bCs/>
          <w:sz w:val="28"/>
          <w:szCs w:val="28"/>
          <w:highlight w:val="none"/>
          <w:lang w:eastAsia="zh-CN"/>
        </w:rPr>
      </w:pPr>
    </w:p>
    <w:p w14:paraId="4AE3B73B">
      <w:pPr>
        <w:spacing w:line="360" w:lineRule="auto"/>
        <w:jc w:val="center"/>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eastAsia="zh-CN"/>
        </w:rPr>
        <w:t>成都市技师学院</w:t>
      </w:r>
    </w:p>
    <w:p w14:paraId="05B3552A">
      <w:pPr>
        <w:adjustRightInd w:val="0"/>
        <w:snapToGrid w:val="0"/>
        <w:spacing w:before="312" w:beforeLines="100" w:line="360" w:lineRule="auto"/>
        <w:jc w:val="center"/>
        <w:rPr>
          <w:rFonts w:hint="eastAsia" w:ascii="微软雅黑" w:hAnsi="微软雅黑" w:eastAsia="微软雅黑" w:cs="微软雅黑"/>
          <w:b/>
          <w:bCs/>
          <w:sz w:val="32"/>
          <w:szCs w:val="32"/>
          <w:highlight w:val="none"/>
          <w:lang w:eastAsia="zh-CN"/>
        </w:rPr>
      </w:pPr>
      <w:r>
        <w:rPr>
          <w:rFonts w:hint="eastAsia" w:ascii="微软雅黑" w:hAnsi="微软雅黑" w:eastAsia="微软雅黑" w:cs="微软雅黑"/>
          <w:b/>
          <w:bCs/>
          <w:sz w:val="32"/>
          <w:szCs w:val="32"/>
          <w:highlight w:val="none"/>
          <w:lang w:eastAsia="zh-CN"/>
        </w:rPr>
        <w:t>恒泰工程咨询集团有限公司</w:t>
      </w:r>
    </w:p>
    <w:p w14:paraId="018399E3">
      <w:pPr>
        <w:pStyle w:val="9"/>
        <w:jc w:val="center"/>
        <w:rPr>
          <w:rFonts w:hint="eastAsia" w:ascii="微软雅黑" w:hAnsi="微软雅黑" w:eastAsia="微软雅黑" w:cs="微软雅黑"/>
          <w:b/>
          <w:bCs/>
          <w:sz w:val="21"/>
          <w:szCs w:val="22"/>
          <w:highlight w:val="none"/>
          <w:lang w:eastAsia="zh-CN"/>
        </w:rPr>
      </w:pPr>
      <w:r>
        <w:rPr>
          <w:rFonts w:hint="eastAsia" w:ascii="微软雅黑" w:hAnsi="微软雅黑" w:eastAsia="微软雅黑" w:cs="微软雅黑"/>
          <w:b/>
          <w:bCs/>
          <w:sz w:val="32"/>
          <w:szCs w:val="32"/>
          <w:highlight w:val="none"/>
          <w:lang w:eastAsia="zh-CN"/>
        </w:rPr>
        <w:t>共同编制</w:t>
      </w:r>
    </w:p>
    <w:p w14:paraId="017C1F9E">
      <w:pPr>
        <w:adjustRightInd w:val="0"/>
        <w:snapToGrid w:val="0"/>
        <w:spacing w:line="360" w:lineRule="auto"/>
        <w:jc w:val="center"/>
        <w:rPr>
          <w:rFonts w:hint="eastAsia" w:ascii="微软雅黑" w:hAnsi="微软雅黑" w:eastAsia="微软雅黑" w:cs="微软雅黑"/>
          <w:b w:val="0"/>
          <w:bCs w:val="0"/>
          <w:color w:val="auto"/>
          <w:sz w:val="32"/>
          <w:szCs w:val="32"/>
          <w:highlight w:val="none"/>
          <w:lang w:val="en-US" w:eastAsia="zh-CN"/>
        </w:rPr>
      </w:pPr>
      <w:r>
        <w:rPr>
          <w:rFonts w:hint="eastAsia" w:ascii="微软雅黑" w:hAnsi="微软雅黑" w:eastAsia="微软雅黑" w:cs="微软雅黑"/>
          <w:b/>
          <w:bCs w:val="0"/>
          <w:color w:val="auto"/>
          <w:sz w:val="32"/>
          <w:szCs w:val="32"/>
          <w:highlight w:val="none"/>
          <w:lang w:val="en-US" w:eastAsia="zh-CN"/>
        </w:rPr>
        <w:t>2024年11月</w:t>
      </w:r>
    </w:p>
    <w:p w14:paraId="6DF0EF3E">
      <w:pPr>
        <w:snapToGrid w:val="0"/>
        <w:spacing w:line="540" w:lineRule="exact"/>
        <w:jc w:val="center"/>
        <w:rPr>
          <w:rFonts w:hint="eastAsia" w:ascii="黑体" w:hAnsi="黑体" w:eastAsia="黑体" w:cs="黑体"/>
          <w:b/>
          <w:sz w:val="44"/>
          <w:szCs w:val="44"/>
          <w:highlight w:val="none"/>
        </w:rPr>
        <w:sectPr>
          <w:headerReference r:id="rId4" w:type="first"/>
          <w:headerReference r:id="rId3" w:type="default"/>
          <w:footerReference r:id="rId5" w:type="default"/>
          <w:pgSz w:w="11906" w:h="16838"/>
          <w:pgMar w:top="1440" w:right="1474" w:bottom="1440" w:left="1474" w:header="851" w:footer="992" w:gutter="0"/>
          <w:pgNumType w:fmt="decimal"/>
          <w:cols w:space="0" w:num="1"/>
          <w:titlePg/>
          <w:rtlGutter w:val="0"/>
          <w:docGrid w:type="lines" w:linePitch="312" w:charSpace="0"/>
        </w:sectPr>
      </w:pPr>
    </w:p>
    <w:p w14:paraId="14F559B8">
      <w:pPr>
        <w:snapToGrid w:val="0"/>
        <w:spacing w:line="540" w:lineRule="exact"/>
        <w:jc w:val="both"/>
        <w:rPr>
          <w:rFonts w:hint="eastAsia" w:ascii="仿宋" w:hAnsi="仿宋" w:eastAsia="仿宋" w:cs="仿宋"/>
          <w:b/>
          <w:sz w:val="44"/>
          <w:szCs w:val="44"/>
          <w:highlight w:val="none"/>
        </w:rPr>
      </w:pPr>
    </w:p>
    <w:p w14:paraId="76B9E6B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hint="eastAsia" w:ascii="仿宋" w:hAnsi="仿宋" w:eastAsia="仿宋" w:cs="仿宋"/>
          <w:b/>
          <w:sz w:val="44"/>
          <w:szCs w:val="44"/>
          <w:highlight w:val="none"/>
        </w:rPr>
      </w:pPr>
      <w:bookmarkStart w:id="0" w:name="_Toc8640"/>
      <w:r>
        <w:rPr>
          <w:rFonts w:hint="eastAsia" w:ascii="仿宋" w:hAnsi="仿宋" w:eastAsia="仿宋" w:cs="仿宋"/>
          <w:b/>
          <w:sz w:val="44"/>
          <w:szCs w:val="44"/>
          <w:highlight w:val="none"/>
        </w:rPr>
        <w:t>目    录</w:t>
      </w:r>
      <w:bookmarkEnd w:id="0"/>
    </w:p>
    <w:p w14:paraId="7D32DA1B">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p>
    <w:sdt>
      <w:sdtPr>
        <w:rPr>
          <w:rFonts w:hint="eastAsia" w:ascii="仿宋" w:hAnsi="仿宋" w:eastAsia="仿宋" w:cs="仿宋"/>
          <w:kern w:val="2"/>
          <w:sz w:val="28"/>
          <w:szCs w:val="28"/>
          <w:highlight w:val="none"/>
          <w:lang w:val="en-US" w:eastAsia="zh-CN" w:bidi="ar-SA"/>
        </w:rPr>
        <w:id w:val="147461923"/>
        <w15:color w:val="DBDBDB"/>
        <w:docPartObj>
          <w:docPartGallery w:val="Table of Contents"/>
          <w:docPartUnique/>
        </w:docPartObj>
      </w:sdtPr>
      <w:sdtEndPr>
        <w:rPr>
          <w:rFonts w:hint="eastAsia" w:ascii="Times New Roman" w:hAnsi="Times New Roman" w:eastAsia="黑体" w:cs="Times New Roman"/>
          <w:bCs/>
          <w:kern w:val="2"/>
          <w:sz w:val="21"/>
          <w:szCs w:val="32"/>
          <w:highlight w:val="none"/>
          <w:lang w:val="en-US" w:eastAsia="zh-CN" w:bidi="ar-SA"/>
        </w:rPr>
      </w:sdtEndPr>
      <w:sdtContent>
        <w:p w14:paraId="2D33430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Cs w:val="0"/>
              <w:kern w:val="2"/>
              <w:sz w:val="28"/>
              <w:szCs w:val="28"/>
              <w:highlight w:val="none"/>
              <w:lang w:val="en-US" w:eastAsia="zh-CN" w:bidi="ar-SA"/>
            </w:rPr>
          </w:pP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TOC \o "1-1" \h \u </w:instrText>
          </w:r>
          <w:r>
            <w:rPr>
              <w:rFonts w:hint="eastAsia" w:ascii="仿宋" w:hAnsi="仿宋" w:eastAsia="仿宋" w:cs="仿宋"/>
              <w:b w:val="0"/>
              <w:bCs w:val="0"/>
              <w:sz w:val="28"/>
              <w:szCs w:val="28"/>
              <w:highlight w:val="none"/>
            </w:rPr>
            <w:fldChar w:fldCharType="separate"/>
          </w:r>
        </w:p>
        <w:p w14:paraId="7EFF482F">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_Toc1109 </w:instrText>
          </w:r>
          <w:r>
            <w:rPr>
              <w:rFonts w:hint="eastAsia" w:ascii="仿宋" w:hAnsi="仿宋" w:eastAsia="仿宋" w:cs="仿宋"/>
              <w:bCs w:val="0"/>
              <w:sz w:val="28"/>
              <w:szCs w:val="40"/>
              <w:highlight w:val="none"/>
            </w:rPr>
            <w:fldChar w:fldCharType="separate"/>
          </w:r>
          <w:r>
            <w:rPr>
              <w:rFonts w:hint="eastAsia" w:ascii="仿宋" w:hAnsi="仿宋" w:eastAsia="仿宋" w:cs="仿宋"/>
              <w:bCs w:val="0"/>
              <w:sz w:val="28"/>
              <w:szCs w:val="44"/>
              <w:highlight w:val="none"/>
              <w:lang w:eastAsia="zh-CN"/>
            </w:rPr>
            <w:t>第一章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lang w:eastAsia="zh-CN"/>
            </w:rPr>
            <w:t>磋商</w:t>
          </w:r>
          <w:r>
            <w:rPr>
              <w:rFonts w:hint="eastAsia" w:ascii="仿宋" w:hAnsi="仿宋" w:eastAsia="仿宋" w:cs="仿宋"/>
              <w:bCs w:val="0"/>
              <w:sz w:val="28"/>
              <w:szCs w:val="44"/>
              <w:highlight w:val="none"/>
            </w:rPr>
            <w:t>邀请</w:t>
          </w:r>
          <w:r>
            <w:rPr>
              <w:sz w:val="28"/>
              <w:szCs w:val="32"/>
              <w:highlight w:val="none"/>
            </w:rPr>
            <w:tab/>
          </w:r>
          <w:r>
            <w:rPr>
              <w:sz w:val="28"/>
              <w:szCs w:val="32"/>
              <w:highlight w:val="none"/>
            </w:rPr>
            <w:fldChar w:fldCharType="begin"/>
          </w:r>
          <w:r>
            <w:rPr>
              <w:sz w:val="28"/>
              <w:szCs w:val="32"/>
              <w:highlight w:val="none"/>
            </w:rPr>
            <w:instrText xml:space="preserve"> PAGEREF _Toc1109 \h </w:instrText>
          </w:r>
          <w:r>
            <w:rPr>
              <w:sz w:val="28"/>
              <w:szCs w:val="32"/>
              <w:highlight w:val="none"/>
            </w:rPr>
            <w:fldChar w:fldCharType="separate"/>
          </w:r>
          <w:r>
            <w:rPr>
              <w:sz w:val="28"/>
              <w:szCs w:val="32"/>
              <w:highlight w:val="none"/>
            </w:rPr>
            <w:t>2</w:t>
          </w:r>
          <w:r>
            <w:rPr>
              <w:sz w:val="28"/>
              <w:szCs w:val="32"/>
              <w:highlight w:val="none"/>
            </w:rPr>
            <w:fldChar w:fldCharType="end"/>
          </w:r>
          <w:r>
            <w:rPr>
              <w:rFonts w:hint="eastAsia" w:ascii="仿宋" w:hAnsi="仿宋" w:eastAsia="仿宋" w:cs="仿宋"/>
              <w:bCs w:val="0"/>
              <w:sz w:val="28"/>
              <w:szCs w:val="40"/>
              <w:highlight w:val="none"/>
            </w:rPr>
            <w:fldChar w:fldCharType="end"/>
          </w:r>
        </w:p>
        <w:p w14:paraId="0B4E7B9E">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_Toc27543 </w:instrText>
          </w:r>
          <w:r>
            <w:rPr>
              <w:rFonts w:hint="eastAsia" w:ascii="仿宋" w:hAnsi="仿宋" w:eastAsia="仿宋" w:cs="仿宋"/>
              <w:bCs w:val="0"/>
              <w:sz w:val="28"/>
              <w:szCs w:val="40"/>
              <w:highlight w:val="none"/>
            </w:rPr>
            <w:fldChar w:fldCharType="separate"/>
          </w:r>
          <w:r>
            <w:rPr>
              <w:rFonts w:hint="eastAsia" w:ascii="仿宋" w:hAnsi="仿宋" w:eastAsia="仿宋" w:cs="仿宋"/>
              <w:bCs w:val="0"/>
              <w:sz w:val="28"/>
              <w:szCs w:val="44"/>
              <w:highlight w:val="none"/>
              <w:lang w:eastAsia="zh-CN"/>
            </w:rPr>
            <w:t>第二章</w:t>
          </w:r>
          <w:r>
            <w:rPr>
              <w:rFonts w:hint="eastAsia" w:ascii="仿宋" w:hAnsi="仿宋" w:eastAsia="仿宋" w:cs="仿宋"/>
              <w:bCs w:val="0"/>
              <w:sz w:val="28"/>
              <w:szCs w:val="44"/>
              <w:highlight w:val="none"/>
              <w:lang w:val="en-US" w:eastAsia="zh-CN"/>
            </w:rPr>
            <w:t xml:space="preserve"> </w:t>
          </w:r>
          <w:r>
            <w:rPr>
              <w:rFonts w:hint="eastAsia" w:ascii="仿宋" w:hAnsi="仿宋" w:eastAsia="仿宋" w:cs="仿宋"/>
              <w:bCs w:val="0"/>
              <w:sz w:val="28"/>
              <w:szCs w:val="44"/>
              <w:highlight w:val="none"/>
              <w:lang w:eastAsia="zh-CN"/>
            </w:rPr>
            <w:t>磋商须知</w:t>
          </w:r>
          <w:r>
            <w:rPr>
              <w:sz w:val="28"/>
              <w:szCs w:val="32"/>
              <w:highlight w:val="none"/>
            </w:rPr>
            <w:tab/>
          </w:r>
          <w:r>
            <w:rPr>
              <w:sz w:val="28"/>
              <w:szCs w:val="32"/>
              <w:highlight w:val="none"/>
            </w:rPr>
            <w:fldChar w:fldCharType="begin"/>
          </w:r>
          <w:r>
            <w:rPr>
              <w:sz w:val="28"/>
              <w:szCs w:val="32"/>
              <w:highlight w:val="none"/>
            </w:rPr>
            <w:instrText xml:space="preserve"> PAGEREF _Toc27543 \h </w:instrText>
          </w:r>
          <w:r>
            <w:rPr>
              <w:sz w:val="28"/>
              <w:szCs w:val="32"/>
              <w:highlight w:val="none"/>
            </w:rPr>
            <w:fldChar w:fldCharType="separate"/>
          </w:r>
          <w:r>
            <w:rPr>
              <w:sz w:val="28"/>
              <w:szCs w:val="32"/>
              <w:highlight w:val="none"/>
            </w:rPr>
            <w:t>5</w:t>
          </w:r>
          <w:r>
            <w:rPr>
              <w:sz w:val="28"/>
              <w:szCs w:val="32"/>
              <w:highlight w:val="none"/>
            </w:rPr>
            <w:fldChar w:fldCharType="end"/>
          </w:r>
          <w:r>
            <w:rPr>
              <w:rFonts w:hint="eastAsia" w:ascii="仿宋" w:hAnsi="仿宋" w:eastAsia="仿宋" w:cs="仿宋"/>
              <w:bCs w:val="0"/>
              <w:sz w:val="28"/>
              <w:szCs w:val="40"/>
              <w:highlight w:val="none"/>
            </w:rPr>
            <w:fldChar w:fldCharType="end"/>
          </w:r>
        </w:p>
        <w:p w14:paraId="0910D4E8">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_Toc22978 </w:instrText>
          </w:r>
          <w:r>
            <w:rPr>
              <w:rFonts w:hint="eastAsia" w:ascii="仿宋" w:hAnsi="仿宋" w:eastAsia="仿宋" w:cs="仿宋"/>
              <w:bCs w:val="0"/>
              <w:sz w:val="28"/>
              <w:szCs w:val="40"/>
              <w:highlight w:val="none"/>
            </w:rPr>
            <w:fldChar w:fldCharType="separate"/>
          </w:r>
          <w:r>
            <w:rPr>
              <w:rFonts w:ascii="仿宋" w:hAnsi="仿宋" w:eastAsia="仿宋"/>
              <w:bCs w:val="0"/>
              <w:sz w:val="28"/>
              <w:szCs w:val="48"/>
              <w:highlight w:val="none"/>
            </w:rPr>
            <w:t>第</w:t>
          </w:r>
          <w:r>
            <w:rPr>
              <w:rFonts w:hint="eastAsia" w:ascii="仿宋" w:hAnsi="仿宋" w:eastAsia="仿宋"/>
              <w:bCs w:val="0"/>
              <w:sz w:val="28"/>
              <w:szCs w:val="48"/>
              <w:highlight w:val="none"/>
            </w:rPr>
            <w:t>三</w:t>
          </w:r>
          <w:r>
            <w:rPr>
              <w:rFonts w:ascii="仿宋" w:hAnsi="仿宋" w:eastAsia="仿宋"/>
              <w:bCs w:val="0"/>
              <w:sz w:val="28"/>
              <w:szCs w:val="48"/>
              <w:highlight w:val="none"/>
            </w:rPr>
            <w:t>章</w:t>
          </w:r>
          <w:r>
            <w:rPr>
              <w:rFonts w:hint="eastAsia" w:ascii="仿宋" w:hAnsi="仿宋" w:eastAsia="仿宋"/>
              <w:bCs w:val="0"/>
              <w:sz w:val="28"/>
              <w:szCs w:val="48"/>
              <w:highlight w:val="none"/>
            </w:rPr>
            <w:t xml:space="preserve"> 资格</w:t>
          </w:r>
          <w:r>
            <w:rPr>
              <w:rFonts w:hint="eastAsia" w:ascii="仿宋" w:hAnsi="仿宋" w:eastAsia="仿宋"/>
              <w:bCs w:val="0"/>
              <w:sz w:val="28"/>
              <w:szCs w:val="48"/>
              <w:highlight w:val="none"/>
              <w:lang w:val="en-US" w:eastAsia="zh-CN"/>
            </w:rPr>
            <w:t>审查</w:t>
          </w:r>
          <w:r>
            <w:rPr>
              <w:sz w:val="28"/>
              <w:szCs w:val="32"/>
              <w:highlight w:val="none"/>
            </w:rPr>
            <w:tab/>
          </w:r>
          <w:r>
            <w:rPr>
              <w:sz w:val="28"/>
              <w:szCs w:val="32"/>
              <w:highlight w:val="none"/>
            </w:rPr>
            <w:fldChar w:fldCharType="begin"/>
          </w:r>
          <w:r>
            <w:rPr>
              <w:sz w:val="28"/>
              <w:szCs w:val="32"/>
              <w:highlight w:val="none"/>
            </w:rPr>
            <w:instrText xml:space="preserve"> PAGEREF _Toc22978 \h </w:instrText>
          </w:r>
          <w:r>
            <w:rPr>
              <w:sz w:val="28"/>
              <w:szCs w:val="32"/>
              <w:highlight w:val="none"/>
            </w:rPr>
            <w:fldChar w:fldCharType="separate"/>
          </w:r>
          <w:r>
            <w:rPr>
              <w:sz w:val="28"/>
              <w:szCs w:val="32"/>
              <w:highlight w:val="none"/>
            </w:rPr>
            <w:t>18</w:t>
          </w:r>
          <w:r>
            <w:rPr>
              <w:sz w:val="28"/>
              <w:szCs w:val="32"/>
              <w:highlight w:val="none"/>
            </w:rPr>
            <w:fldChar w:fldCharType="end"/>
          </w:r>
          <w:r>
            <w:rPr>
              <w:rFonts w:hint="eastAsia" w:ascii="仿宋" w:hAnsi="仿宋" w:eastAsia="仿宋" w:cs="仿宋"/>
              <w:bCs w:val="0"/>
              <w:sz w:val="28"/>
              <w:szCs w:val="40"/>
              <w:highlight w:val="none"/>
            </w:rPr>
            <w:fldChar w:fldCharType="end"/>
          </w:r>
        </w:p>
        <w:p w14:paraId="5A587F42">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_Toc24680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第四章 技术、</w:t>
          </w:r>
          <w:r>
            <w:rPr>
              <w:rFonts w:hint="eastAsia" w:ascii="仿宋" w:hAnsi="仿宋" w:eastAsia="仿宋"/>
              <w:bCs w:val="0"/>
              <w:sz w:val="28"/>
              <w:szCs w:val="48"/>
              <w:highlight w:val="none"/>
              <w:lang w:eastAsia="zh-CN"/>
            </w:rPr>
            <w:t>商务</w:t>
          </w:r>
          <w:r>
            <w:rPr>
              <w:rFonts w:hint="eastAsia" w:ascii="仿宋" w:hAnsi="仿宋" w:eastAsia="仿宋"/>
              <w:bCs w:val="0"/>
              <w:sz w:val="28"/>
              <w:szCs w:val="48"/>
              <w:highlight w:val="none"/>
            </w:rPr>
            <w:t>及其他要求</w:t>
          </w:r>
          <w:r>
            <w:rPr>
              <w:sz w:val="28"/>
              <w:szCs w:val="32"/>
              <w:highlight w:val="none"/>
            </w:rPr>
            <w:tab/>
          </w:r>
          <w:r>
            <w:rPr>
              <w:sz w:val="28"/>
              <w:szCs w:val="32"/>
              <w:highlight w:val="none"/>
            </w:rPr>
            <w:fldChar w:fldCharType="begin"/>
          </w:r>
          <w:r>
            <w:rPr>
              <w:sz w:val="28"/>
              <w:szCs w:val="32"/>
              <w:highlight w:val="none"/>
            </w:rPr>
            <w:instrText xml:space="preserve"> PAGEREF _Toc24680 \h </w:instrText>
          </w:r>
          <w:r>
            <w:rPr>
              <w:sz w:val="28"/>
              <w:szCs w:val="32"/>
              <w:highlight w:val="none"/>
            </w:rPr>
            <w:fldChar w:fldCharType="separate"/>
          </w:r>
          <w:r>
            <w:rPr>
              <w:sz w:val="28"/>
              <w:szCs w:val="32"/>
              <w:highlight w:val="none"/>
            </w:rPr>
            <w:t>22</w:t>
          </w:r>
          <w:r>
            <w:rPr>
              <w:sz w:val="28"/>
              <w:szCs w:val="32"/>
              <w:highlight w:val="none"/>
            </w:rPr>
            <w:fldChar w:fldCharType="end"/>
          </w:r>
          <w:r>
            <w:rPr>
              <w:rFonts w:hint="eastAsia" w:ascii="仿宋" w:hAnsi="仿宋" w:eastAsia="仿宋" w:cs="仿宋"/>
              <w:bCs w:val="0"/>
              <w:sz w:val="28"/>
              <w:szCs w:val="40"/>
              <w:highlight w:val="none"/>
            </w:rPr>
            <w:fldChar w:fldCharType="end"/>
          </w:r>
        </w:p>
        <w:p w14:paraId="723C240B">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_Toc10910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五</w:t>
          </w:r>
          <w:r>
            <w:rPr>
              <w:rFonts w:hint="eastAsia" w:ascii="仿宋" w:hAnsi="仿宋" w:eastAsia="仿宋"/>
              <w:bCs w:val="0"/>
              <w:sz w:val="28"/>
              <w:szCs w:val="48"/>
              <w:highlight w:val="none"/>
            </w:rPr>
            <w:t xml:space="preserve">章 </w:t>
          </w:r>
          <w:r>
            <w:rPr>
              <w:rFonts w:hint="eastAsia" w:ascii="仿宋" w:hAnsi="仿宋" w:eastAsia="仿宋"/>
              <w:bCs w:val="0"/>
              <w:sz w:val="28"/>
              <w:szCs w:val="48"/>
              <w:highlight w:val="none"/>
              <w:lang w:val="en-US" w:eastAsia="zh-CN"/>
            </w:rPr>
            <w:t>磋商内容、磋商过程中可实</w:t>
          </w:r>
          <w:r>
            <w:rPr>
              <w:rFonts w:hint="eastAsia" w:ascii="仿宋" w:hAnsi="仿宋" w:eastAsia="仿宋"/>
              <w:bCs w:val="0"/>
              <w:sz w:val="28"/>
              <w:szCs w:val="48"/>
              <w:highlight w:val="none"/>
            </w:rPr>
            <w:t>质性变动的内容</w:t>
          </w:r>
          <w:r>
            <w:rPr>
              <w:sz w:val="28"/>
              <w:szCs w:val="32"/>
              <w:highlight w:val="none"/>
            </w:rPr>
            <w:tab/>
          </w:r>
          <w:r>
            <w:rPr>
              <w:sz w:val="28"/>
              <w:szCs w:val="32"/>
              <w:highlight w:val="none"/>
            </w:rPr>
            <w:fldChar w:fldCharType="begin"/>
          </w:r>
          <w:r>
            <w:rPr>
              <w:sz w:val="28"/>
              <w:szCs w:val="32"/>
              <w:highlight w:val="none"/>
            </w:rPr>
            <w:instrText xml:space="preserve"> PAGEREF _Toc10910 \h </w:instrText>
          </w:r>
          <w:r>
            <w:rPr>
              <w:sz w:val="28"/>
              <w:szCs w:val="32"/>
              <w:highlight w:val="none"/>
            </w:rPr>
            <w:fldChar w:fldCharType="separate"/>
          </w:r>
          <w:r>
            <w:rPr>
              <w:sz w:val="28"/>
              <w:szCs w:val="32"/>
              <w:highlight w:val="none"/>
            </w:rPr>
            <w:t>30</w:t>
          </w:r>
          <w:r>
            <w:rPr>
              <w:sz w:val="28"/>
              <w:szCs w:val="32"/>
              <w:highlight w:val="none"/>
            </w:rPr>
            <w:fldChar w:fldCharType="end"/>
          </w:r>
          <w:r>
            <w:rPr>
              <w:rFonts w:hint="eastAsia" w:ascii="仿宋" w:hAnsi="仿宋" w:eastAsia="仿宋" w:cs="仿宋"/>
              <w:bCs w:val="0"/>
              <w:sz w:val="28"/>
              <w:szCs w:val="40"/>
              <w:highlight w:val="none"/>
            </w:rPr>
            <w:fldChar w:fldCharType="end"/>
          </w:r>
        </w:p>
        <w:p w14:paraId="70CF01FF">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_Toc6952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六</w:t>
          </w:r>
          <w:r>
            <w:rPr>
              <w:rFonts w:hint="eastAsia" w:ascii="仿宋" w:hAnsi="仿宋" w:eastAsia="仿宋"/>
              <w:bCs w:val="0"/>
              <w:sz w:val="28"/>
              <w:szCs w:val="48"/>
              <w:highlight w:val="none"/>
            </w:rPr>
            <w:t>章 响应文件格式</w:t>
          </w:r>
          <w:r>
            <w:rPr>
              <w:sz w:val="28"/>
              <w:szCs w:val="32"/>
              <w:highlight w:val="none"/>
            </w:rPr>
            <w:tab/>
          </w:r>
          <w:r>
            <w:rPr>
              <w:sz w:val="28"/>
              <w:szCs w:val="32"/>
              <w:highlight w:val="none"/>
            </w:rPr>
            <w:fldChar w:fldCharType="begin"/>
          </w:r>
          <w:r>
            <w:rPr>
              <w:sz w:val="28"/>
              <w:szCs w:val="32"/>
              <w:highlight w:val="none"/>
            </w:rPr>
            <w:instrText xml:space="preserve"> PAGEREF _Toc6952 \h </w:instrText>
          </w:r>
          <w:r>
            <w:rPr>
              <w:sz w:val="28"/>
              <w:szCs w:val="32"/>
              <w:highlight w:val="none"/>
            </w:rPr>
            <w:fldChar w:fldCharType="separate"/>
          </w:r>
          <w:r>
            <w:rPr>
              <w:sz w:val="28"/>
              <w:szCs w:val="32"/>
              <w:highlight w:val="none"/>
            </w:rPr>
            <w:t>31</w:t>
          </w:r>
          <w:r>
            <w:rPr>
              <w:sz w:val="28"/>
              <w:szCs w:val="32"/>
              <w:highlight w:val="none"/>
            </w:rPr>
            <w:fldChar w:fldCharType="end"/>
          </w:r>
          <w:r>
            <w:rPr>
              <w:rFonts w:hint="eastAsia" w:ascii="仿宋" w:hAnsi="仿宋" w:eastAsia="仿宋" w:cs="仿宋"/>
              <w:bCs w:val="0"/>
              <w:sz w:val="28"/>
              <w:szCs w:val="40"/>
              <w:highlight w:val="none"/>
            </w:rPr>
            <w:fldChar w:fldCharType="end"/>
          </w:r>
        </w:p>
        <w:p w14:paraId="042B882E">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_Toc18483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七</w:t>
          </w:r>
          <w:r>
            <w:rPr>
              <w:rFonts w:hint="eastAsia" w:ascii="仿宋" w:hAnsi="仿宋" w:eastAsia="仿宋"/>
              <w:bCs w:val="0"/>
              <w:sz w:val="28"/>
              <w:szCs w:val="48"/>
              <w:highlight w:val="none"/>
            </w:rPr>
            <w:t>章 评审办法</w:t>
          </w:r>
          <w:r>
            <w:rPr>
              <w:sz w:val="28"/>
              <w:szCs w:val="32"/>
              <w:highlight w:val="none"/>
            </w:rPr>
            <w:tab/>
          </w:r>
          <w:r>
            <w:rPr>
              <w:sz w:val="28"/>
              <w:szCs w:val="32"/>
              <w:highlight w:val="none"/>
            </w:rPr>
            <w:fldChar w:fldCharType="begin"/>
          </w:r>
          <w:r>
            <w:rPr>
              <w:sz w:val="28"/>
              <w:szCs w:val="32"/>
              <w:highlight w:val="none"/>
            </w:rPr>
            <w:instrText xml:space="preserve"> PAGEREF _Toc18483 \h </w:instrText>
          </w:r>
          <w:r>
            <w:rPr>
              <w:sz w:val="28"/>
              <w:szCs w:val="32"/>
              <w:highlight w:val="none"/>
            </w:rPr>
            <w:fldChar w:fldCharType="separate"/>
          </w:r>
          <w:r>
            <w:rPr>
              <w:sz w:val="28"/>
              <w:szCs w:val="32"/>
              <w:highlight w:val="none"/>
            </w:rPr>
            <w:t>48</w:t>
          </w:r>
          <w:r>
            <w:rPr>
              <w:sz w:val="28"/>
              <w:szCs w:val="32"/>
              <w:highlight w:val="none"/>
            </w:rPr>
            <w:fldChar w:fldCharType="end"/>
          </w:r>
          <w:r>
            <w:rPr>
              <w:rFonts w:hint="eastAsia" w:ascii="仿宋" w:hAnsi="仿宋" w:eastAsia="仿宋" w:cs="仿宋"/>
              <w:bCs w:val="0"/>
              <w:sz w:val="28"/>
              <w:szCs w:val="40"/>
              <w:highlight w:val="none"/>
            </w:rPr>
            <w:fldChar w:fldCharType="end"/>
          </w:r>
        </w:p>
        <w:p w14:paraId="4CCF53FD">
          <w:pPr>
            <w:pStyle w:val="18"/>
            <w:tabs>
              <w:tab w:val="right" w:leader="dot" w:pos="8958"/>
            </w:tabs>
            <w:rPr>
              <w:sz w:val="28"/>
              <w:szCs w:val="32"/>
              <w:highlight w:val="none"/>
            </w:rPr>
          </w:pPr>
          <w:r>
            <w:rPr>
              <w:rFonts w:hint="eastAsia" w:ascii="仿宋" w:hAnsi="仿宋" w:eastAsia="仿宋" w:cs="仿宋"/>
              <w:bCs w:val="0"/>
              <w:sz w:val="28"/>
              <w:szCs w:val="40"/>
              <w:highlight w:val="none"/>
            </w:rPr>
            <w:fldChar w:fldCharType="begin"/>
          </w:r>
          <w:r>
            <w:rPr>
              <w:rFonts w:hint="eastAsia" w:ascii="仿宋" w:hAnsi="仿宋" w:eastAsia="仿宋" w:cs="仿宋"/>
              <w:bCs w:val="0"/>
              <w:sz w:val="28"/>
              <w:szCs w:val="40"/>
              <w:highlight w:val="none"/>
            </w:rPr>
            <w:instrText xml:space="preserve"> HYPERLINK \l _Toc16524 </w:instrText>
          </w:r>
          <w:r>
            <w:rPr>
              <w:rFonts w:hint="eastAsia" w:ascii="仿宋" w:hAnsi="仿宋" w:eastAsia="仿宋" w:cs="仿宋"/>
              <w:bCs w:val="0"/>
              <w:sz w:val="28"/>
              <w:szCs w:val="40"/>
              <w:highlight w:val="none"/>
            </w:rPr>
            <w:fldChar w:fldCharType="separate"/>
          </w:r>
          <w:r>
            <w:rPr>
              <w:rFonts w:hint="eastAsia" w:ascii="仿宋" w:hAnsi="仿宋" w:eastAsia="仿宋"/>
              <w:bCs w:val="0"/>
              <w:sz w:val="28"/>
              <w:szCs w:val="48"/>
              <w:highlight w:val="none"/>
            </w:rPr>
            <w:t>第</w:t>
          </w:r>
          <w:r>
            <w:rPr>
              <w:rFonts w:hint="eastAsia" w:ascii="仿宋" w:hAnsi="仿宋" w:eastAsia="仿宋"/>
              <w:bCs w:val="0"/>
              <w:sz w:val="28"/>
              <w:szCs w:val="48"/>
              <w:highlight w:val="none"/>
              <w:lang w:eastAsia="zh-CN"/>
            </w:rPr>
            <w:t>八</w:t>
          </w:r>
          <w:r>
            <w:rPr>
              <w:rFonts w:hint="eastAsia" w:ascii="仿宋" w:hAnsi="仿宋" w:eastAsia="仿宋"/>
              <w:bCs w:val="0"/>
              <w:sz w:val="28"/>
              <w:szCs w:val="48"/>
              <w:highlight w:val="none"/>
            </w:rPr>
            <w:t>章 采购合同（草案）</w:t>
          </w:r>
          <w:r>
            <w:rPr>
              <w:sz w:val="28"/>
              <w:szCs w:val="32"/>
              <w:highlight w:val="none"/>
            </w:rPr>
            <w:tab/>
          </w:r>
          <w:r>
            <w:rPr>
              <w:sz w:val="28"/>
              <w:szCs w:val="32"/>
              <w:highlight w:val="none"/>
            </w:rPr>
            <w:fldChar w:fldCharType="begin"/>
          </w:r>
          <w:r>
            <w:rPr>
              <w:sz w:val="28"/>
              <w:szCs w:val="32"/>
              <w:highlight w:val="none"/>
            </w:rPr>
            <w:instrText xml:space="preserve"> PAGEREF _Toc16524 \h </w:instrText>
          </w:r>
          <w:r>
            <w:rPr>
              <w:sz w:val="28"/>
              <w:szCs w:val="32"/>
              <w:highlight w:val="none"/>
            </w:rPr>
            <w:fldChar w:fldCharType="separate"/>
          </w:r>
          <w:r>
            <w:rPr>
              <w:sz w:val="28"/>
              <w:szCs w:val="32"/>
              <w:highlight w:val="none"/>
            </w:rPr>
            <w:t>59</w:t>
          </w:r>
          <w:r>
            <w:rPr>
              <w:sz w:val="28"/>
              <w:szCs w:val="32"/>
              <w:highlight w:val="none"/>
            </w:rPr>
            <w:fldChar w:fldCharType="end"/>
          </w:r>
          <w:r>
            <w:rPr>
              <w:rFonts w:hint="eastAsia" w:ascii="仿宋" w:hAnsi="仿宋" w:eastAsia="仿宋" w:cs="仿宋"/>
              <w:bCs w:val="0"/>
              <w:sz w:val="28"/>
              <w:szCs w:val="40"/>
              <w:highlight w:val="none"/>
            </w:rPr>
            <w:fldChar w:fldCharType="end"/>
          </w:r>
        </w:p>
        <w:p w14:paraId="6025A5D4">
          <w:pPr>
            <w:pStyle w:val="18"/>
            <w:keepNext w:val="0"/>
            <w:keepLines w:val="0"/>
            <w:pageBreakBefore w:val="0"/>
            <w:widowControl/>
            <w:tabs>
              <w:tab w:val="right" w:leader="dot" w:pos="8958"/>
            </w:tabs>
            <w:kinsoku/>
            <w:wordWrap/>
            <w:overflowPunct/>
            <w:topLinePunct w:val="0"/>
            <w:autoSpaceDE/>
            <w:autoSpaceDN/>
            <w:bidi w:val="0"/>
            <w:adjustRightInd/>
            <w:snapToGrid/>
            <w:spacing w:line="360" w:lineRule="auto"/>
            <w:jc w:val="both"/>
            <w:textAlignment w:val="auto"/>
            <w:rPr>
              <w:rFonts w:ascii="Times New Roman" w:hAnsi="Times New Roman" w:eastAsia="黑体" w:cs="Times New Roman"/>
              <w:bCs/>
              <w:kern w:val="2"/>
              <w:sz w:val="21"/>
              <w:szCs w:val="32"/>
              <w:highlight w:val="none"/>
              <w:lang w:val="en-US" w:eastAsia="zh-CN" w:bidi="ar-SA"/>
            </w:rPr>
          </w:pPr>
          <w:r>
            <w:rPr>
              <w:rFonts w:hint="eastAsia" w:ascii="仿宋" w:hAnsi="仿宋" w:eastAsia="仿宋" w:cs="仿宋"/>
              <w:bCs w:val="0"/>
              <w:sz w:val="28"/>
              <w:szCs w:val="28"/>
              <w:highlight w:val="none"/>
            </w:rPr>
            <w:fldChar w:fldCharType="end"/>
          </w:r>
        </w:p>
      </w:sdtContent>
    </w:sdt>
    <w:p w14:paraId="6B0F9477">
      <w:pPr>
        <w:bidi w:val="0"/>
        <w:rPr>
          <w:highlight w:val="none"/>
          <w:lang w:val="en-US" w:eastAsia="zh-CN"/>
        </w:rPr>
      </w:pPr>
    </w:p>
    <w:p w14:paraId="52E6196E">
      <w:pPr>
        <w:tabs>
          <w:tab w:val="center" w:pos="4110"/>
        </w:tabs>
        <w:bidi w:val="0"/>
        <w:jc w:val="left"/>
        <w:rPr>
          <w:rFonts w:hint="eastAsia"/>
          <w:highlight w:val="none"/>
          <w:lang w:val="en-US" w:eastAsia="zh-CN"/>
        </w:rPr>
      </w:pPr>
      <w:r>
        <w:rPr>
          <w:rFonts w:hint="eastAsia"/>
          <w:highlight w:val="none"/>
          <w:lang w:val="en-US" w:eastAsia="zh-CN"/>
        </w:rPr>
        <w:tab/>
      </w:r>
      <w:bookmarkStart w:id="1" w:name="_Toc62832406"/>
      <w:bookmarkStart w:id="2" w:name="_Toc20358"/>
      <w:bookmarkStart w:id="3" w:name="_Toc471310326"/>
    </w:p>
    <w:p w14:paraId="1C9D061F">
      <w:pPr>
        <w:rPr>
          <w:rFonts w:hint="eastAsia"/>
          <w:highlight w:val="none"/>
          <w:lang w:val="en-US" w:eastAsia="zh-CN"/>
        </w:rPr>
      </w:pPr>
      <w:r>
        <w:rPr>
          <w:rFonts w:hint="eastAsia"/>
          <w:highlight w:val="none"/>
          <w:lang w:val="en-US" w:eastAsia="zh-CN"/>
        </w:rPr>
        <w:br w:type="page"/>
      </w:r>
    </w:p>
    <w:p w14:paraId="4ED69158">
      <w:pPr>
        <w:widowControl/>
        <w:spacing w:line="520" w:lineRule="exact"/>
        <w:jc w:val="center"/>
        <w:outlineLvl w:val="0"/>
        <w:rPr>
          <w:rFonts w:hint="eastAsia" w:ascii="仿宋" w:hAnsi="仿宋" w:eastAsia="仿宋" w:cs="仿宋"/>
          <w:b/>
          <w:bCs w:val="0"/>
          <w:sz w:val="36"/>
          <w:szCs w:val="32"/>
          <w:highlight w:val="none"/>
        </w:rPr>
      </w:pPr>
      <w:bookmarkStart w:id="4" w:name="_Toc1109"/>
      <w:r>
        <w:rPr>
          <w:rFonts w:hint="eastAsia" w:ascii="仿宋" w:hAnsi="仿宋" w:eastAsia="仿宋" w:cs="仿宋"/>
          <w:b/>
          <w:bCs w:val="0"/>
          <w:sz w:val="36"/>
          <w:szCs w:val="32"/>
          <w:highlight w:val="none"/>
          <w:lang w:eastAsia="zh-CN"/>
        </w:rPr>
        <w:t>第一章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lang w:eastAsia="zh-CN"/>
        </w:rPr>
        <w:t>磋商</w:t>
      </w:r>
      <w:r>
        <w:rPr>
          <w:rFonts w:hint="eastAsia" w:ascii="仿宋" w:hAnsi="仿宋" w:eastAsia="仿宋" w:cs="仿宋"/>
          <w:b/>
          <w:bCs w:val="0"/>
          <w:sz w:val="36"/>
          <w:szCs w:val="32"/>
          <w:highlight w:val="none"/>
        </w:rPr>
        <w:t>邀请</w:t>
      </w:r>
      <w:bookmarkEnd w:id="1"/>
      <w:bookmarkEnd w:id="2"/>
      <w:bookmarkEnd w:id="3"/>
      <w:bookmarkEnd w:id="4"/>
    </w:p>
    <w:p w14:paraId="479FFB02">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b/>
          <w:bCs w:val="0"/>
          <w:sz w:val="36"/>
          <w:szCs w:val="32"/>
          <w:highlight w:val="none"/>
        </w:rPr>
      </w:pPr>
    </w:p>
    <w:p w14:paraId="2EF0A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single"/>
          <w:lang w:val="en-US" w:eastAsia="zh-CN"/>
        </w:rPr>
      </w:pPr>
      <w:r>
        <w:rPr>
          <w:rFonts w:hint="eastAsia" w:ascii="Times New Roman" w:hAnsi="Times New Roman" w:eastAsia="仿宋" w:cs="Times New Roman"/>
          <w:color w:val="auto"/>
          <w:sz w:val="24"/>
          <w:szCs w:val="24"/>
          <w:highlight w:val="none"/>
          <w:lang w:eastAsia="zh-CN"/>
        </w:rPr>
        <w:t>恒泰工程咨询集团有限公司</w:t>
      </w:r>
      <w:r>
        <w:rPr>
          <w:rFonts w:hint="eastAsia" w:ascii="Times New Roman" w:hAnsi="Times New Roman" w:eastAsia="仿宋" w:cs="Times New Roman"/>
          <w:color w:val="auto"/>
          <w:sz w:val="24"/>
          <w:szCs w:val="24"/>
          <w:highlight w:val="none"/>
          <w:lang w:val="en-US" w:eastAsia="zh-CN"/>
        </w:rPr>
        <w:t>（以下简称“采购代理机构”）</w:t>
      </w:r>
      <w:r>
        <w:rPr>
          <w:rFonts w:hint="eastAsia" w:ascii="Times New Roman" w:hAnsi="Times New Roman" w:eastAsia="仿宋" w:cs="Times New Roman"/>
          <w:color w:val="auto"/>
          <w:sz w:val="24"/>
          <w:szCs w:val="24"/>
          <w:highlight w:val="none"/>
        </w:rPr>
        <w:t>受</w:t>
      </w:r>
      <w:r>
        <w:rPr>
          <w:rFonts w:hint="eastAsia" w:ascii="Times New Roman" w:hAnsi="Times New Roman" w:eastAsia="仿宋" w:cs="Times New Roman"/>
          <w:b/>
          <w:bCs/>
          <w:color w:val="auto"/>
          <w:sz w:val="24"/>
          <w:szCs w:val="24"/>
          <w:highlight w:val="none"/>
          <w:lang w:eastAsia="zh-CN"/>
        </w:rPr>
        <w:t>成都市技师学院</w:t>
      </w:r>
      <w:r>
        <w:rPr>
          <w:rFonts w:hint="eastAsia" w:ascii="Times New Roman" w:hAnsi="Times New Roman" w:eastAsia="仿宋" w:cs="Times New Roman"/>
          <w:color w:val="auto"/>
          <w:sz w:val="24"/>
          <w:szCs w:val="24"/>
          <w:highlight w:val="none"/>
        </w:rPr>
        <w:t>（以下简称“采购人”）的委托，拟对</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b/>
          <w:bCs/>
          <w:color w:val="auto"/>
          <w:sz w:val="24"/>
          <w:szCs w:val="24"/>
          <w:highlight w:val="none"/>
          <w:lang w:eastAsia="zh-CN"/>
        </w:rPr>
        <w:t>成都市技师学院郫都西校区工匠文化教育博览园铁道文化建设项目</w:t>
      </w:r>
      <w:r>
        <w:rPr>
          <w:rFonts w:hint="eastAsia" w:ascii="Times New Roman" w:hAnsi="Times New Roman" w:eastAsia="仿宋" w:cs="Times New Roman"/>
          <w:color w:val="auto"/>
          <w:sz w:val="24"/>
          <w:szCs w:val="24"/>
          <w:highlight w:val="none"/>
          <w:lang w:eastAsia="zh-CN"/>
        </w:rPr>
        <w:t>”</w:t>
      </w:r>
      <w:r>
        <w:rPr>
          <w:rFonts w:hint="eastAsia" w:ascii="Times New Roman" w:hAnsi="Times New Roman" w:eastAsia="仿宋" w:cs="Times New Roman"/>
          <w:color w:val="auto"/>
          <w:sz w:val="24"/>
          <w:szCs w:val="24"/>
          <w:highlight w:val="none"/>
          <w:u w:val="none"/>
          <w:lang w:val="en-US" w:eastAsia="zh-CN"/>
        </w:rPr>
        <w:t>采用竞争性磋商方式进行采购，兹邀请符合本次磋商要求的供应商参加本项目的竞争性磋商。</w:t>
      </w:r>
    </w:p>
    <w:p w14:paraId="612583B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一、项目名称</w:t>
      </w:r>
    </w:p>
    <w:p w14:paraId="5835D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成都市技师学院郫都西校区工匠文化教育博览园铁道文化建设项目</w:t>
      </w:r>
    </w:p>
    <w:p w14:paraId="2E24B4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二、项目编号</w:t>
      </w:r>
    </w:p>
    <w:p w14:paraId="184DC4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HT-【采】20241106</w:t>
      </w:r>
    </w:p>
    <w:p w14:paraId="2C24C8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三、项目简介</w:t>
      </w:r>
    </w:p>
    <w:p w14:paraId="33123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采购详情见第四章。</w:t>
      </w:r>
    </w:p>
    <w:p w14:paraId="46118A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四、供应商参加本次采购活动应具备下列条件</w:t>
      </w:r>
    </w:p>
    <w:p w14:paraId="2F4725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bookmarkStart w:id="5" w:name="_Hlk533582570"/>
      <w:r>
        <w:rPr>
          <w:rFonts w:hint="eastAsia" w:ascii="Times New Roman" w:hAnsi="Times New Roman" w:eastAsia="仿宋" w:cs="Times New Roman"/>
          <w:color w:val="auto"/>
          <w:sz w:val="24"/>
          <w:szCs w:val="24"/>
          <w:highlight w:val="none"/>
          <w:lang w:val="en-US" w:eastAsia="zh-CN"/>
        </w:rPr>
        <w:t>（一）具有独立承担民事责任的能力；</w:t>
      </w:r>
    </w:p>
    <w:p w14:paraId="176FA6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（二）具有良好的商业信誉和健全的财务会计制度；</w:t>
      </w:r>
    </w:p>
    <w:p w14:paraId="3ACAD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（三）具有履行合同所必需的设备和专业技术能力；</w:t>
      </w:r>
    </w:p>
    <w:p w14:paraId="5B748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（四）有依法缴纳税收和社会保障资金的良好记录；</w:t>
      </w:r>
    </w:p>
    <w:p w14:paraId="01735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（五）参加本次采购活动前三年内，在经营活动中没有重大违法记录；</w:t>
      </w:r>
    </w:p>
    <w:p w14:paraId="018EA1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（六）法律、行政法规规定的其他条件；</w:t>
      </w:r>
    </w:p>
    <w:p w14:paraId="27BD78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（七）本项目的特定资格要求：1、供应商单位及其现任法定代表人、主要负责人在参加本次采购活动前三年内无行贿犯罪记录；2、本项目不接受联合体。</w:t>
      </w:r>
    </w:p>
    <w:bookmarkEnd w:id="5"/>
    <w:p w14:paraId="1210E6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五</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磋商</w:t>
      </w:r>
      <w:r>
        <w:rPr>
          <w:rFonts w:ascii="Times New Roman" w:hAnsi="Times New Roman" w:eastAsia="仿宋" w:cs="Times New Roman"/>
          <w:b/>
          <w:sz w:val="24"/>
          <w:szCs w:val="24"/>
          <w:highlight w:val="none"/>
        </w:rPr>
        <w:t>公告</w:t>
      </w:r>
      <w:r>
        <w:rPr>
          <w:rFonts w:hint="eastAsia" w:ascii="Times New Roman" w:hAnsi="Times New Roman" w:eastAsia="仿宋" w:cs="Times New Roman"/>
          <w:b/>
          <w:sz w:val="24"/>
          <w:szCs w:val="24"/>
          <w:highlight w:val="none"/>
        </w:rPr>
        <w:t>发布的媒体</w:t>
      </w:r>
    </w:p>
    <w:p w14:paraId="5B15C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val="en-US" w:eastAsia="zh-CN"/>
        </w:rPr>
        <w:t>次磋商邀请</w:t>
      </w:r>
      <w:r>
        <w:rPr>
          <w:rFonts w:hint="eastAsia" w:ascii="Times New Roman" w:hAnsi="Times New Roman" w:eastAsia="仿宋" w:cs="Times New Roman"/>
          <w:sz w:val="24"/>
          <w:szCs w:val="24"/>
          <w:highlight w:val="none"/>
        </w:rPr>
        <w:t>在</w:t>
      </w:r>
      <w:r>
        <w:rPr>
          <w:rFonts w:hint="eastAsia" w:ascii="Times New Roman" w:hAnsi="Times New Roman" w:eastAsia="仿宋" w:cs="Times New Roman"/>
          <w:sz w:val="24"/>
          <w:szCs w:val="24"/>
          <w:highlight w:val="none"/>
          <w:lang w:val="en-US" w:eastAsia="zh-CN"/>
        </w:rPr>
        <w:t>中国招标投标公共服务平台</w:t>
      </w:r>
      <w:r>
        <w:rPr>
          <w:rFonts w:hint="eastAsia" w:ascii="Times New Roman" w:hAnsi="Times New Roman" w:eastAsia="仿宋" w:cs="Times New Roman"/>
          <w:sz w:val="24"/>
          <w:szCs w:val="24"/>
          <w:highlight w:val="none"/>
        </w:rPr>
        <w:t>（www.cebpubservice.com）发布。</w:t>
      </w:r>
    </w:p>
    <w:p w14:paraId="3BEB348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六</w:t>
      </w:r>
      <w:r>
        <w:rPr>
          <w:rFonts w:hint="eastAsia" w:ascii="Times New Roman" w:hAnsi="Times New Roman" w:eastAsia="仿宋" w:cs="Times New Roman"/>
          <w:b/>
          <w:sz w:val="24"/>
          <w:szCs w:val="24"/>
          <w:highlight w:val="none"/>
        </w:rPr>
        <w:t>、禁止参加本次采购活动的供应商</w:t>
      </w:r>
    </w:p>
    <w:p w14:paraId="0C6CAA30">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eastAsia="zh-CN"/>
        </w:rPr>
        <w:t>参照</w:t>
      </w:r>
      <w:r>
        <w:rPr>
          <w:rFonts w:hint="eastAsia" w:ascii="Times New Roman" w:hAnsi="Times New Roman" w:eastAsia="仿宋" w:cs="Times New Roman"/>
          <w:sz w:val="24"/>
          <w:szCs w:val="24"/>
          <w:highlight w:val="none"/>
        </w:rPr>
        <w:t>《关于在政府采购活动中查询及使用信用记录有关问题的通知》（财库〔2016〕125号）的要求，采购人</w:t>
      </w:r>
      <w:r>
        <w:rPr>
          <w:rFonts w:hint="eastAsia" w:ascii="Times New Roman" w:hAnsi="Times New Roman" w:eastAsia="仿宋" w:cs="Times New Roman"/>
          <w:sz w:val="24"/>
          <w:szCs w:val="24"/>
          <w:highlight w:val="none"/>
          <w:lang w:val="en-US" w:eastAsia="zh-CN"/>
        </w:rPr>
        <w:t>或</w:t>
      </w:r>
      <w:r>
        <w:rPr>
          <w:rFonts w:hint="eastAsia" w:ascii="Times New Roman" w:hAnsi="Times New Roman" w:eastAsia="仿宋" w:cs="Times New Roman"/>
          <w:sz w:val="24"/>
          <w:szCs w:val="24"/>
          <w:highlight w:val="none"/>
        </w:rPr>
        <w:t>采购代理机构将通过“信用中国”网站（www.creditchina.gov.cn）、“中国政府采购网”网站（www.ccgp.gov.cn）等渠道查询供应商在</w:t>
      </w:r>
      <w:r>
        <w:rPr>
          <w:rFonts w:hint="eastAsia" w:ascii="Times New Roman" w:hAnsi="Times New Roman" w:eastAsia="仿宋" w:cs="Times New Roman"/>
          <w:sz w:val="24"/>
          <w:szCs w:val="24"/>
          <w:highlight w:val="none"/>
          <w:lang w:val="en-US" w:eastAsia="zh-CN"/>
        </w:rPr>
        <w:t>提交首次响应文件截止之日前</w:t>
      </w:r>
      <w:r>
        <w:rPr>
          <w:rFonts w:hint="eastAsia" w:ascii="Times New Roman" w:hAnsi="Times New Roman" w:eastAsia="仿宋" w:cs="Times New Roman"/>
          <w:sz w:val="24"/>
          <w:szCs w:val="24"/>
          <w:highlight w:val="none"/>
        </w:rPr>
        <w:t>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7C8D0A5C">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七</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磋商</w:t>
      </w:r>
      <w:r>
        <w:rPr>
          <w:rFonts w:hint="eastAsia" w:ascii="Times New Roman" w:hAnsi="Times New Roman" w:eastAsia="仿宋" w:cs="Times New Roman"/>
          <w:b/>
          <w:sz w:val="24"/>
          <w:szCs w:val="24"/>
          <w:highlight w:val="none"/>
        </w:rPr>
        <w:t>文件获取</w:t>
      </w:r>
      <w:r>
        <w:rPr>
          <w:rFonts w:hint="eastAsia" w:ascii="Times New Roman" w:hAnsi="Times New Roman" w:eastAsia="仿宋" w:cs="Times New Roman"/>
          <w:b/>
          <w:sz w:val="24"/>
          <w:szCs w:val="24"/>
          <w:highlight w:val="none"/>
          <w:lang w:val="en-US" w:eastAsia="zh-CN"/>
        </w:rPr>
        <w:t>的</w:t>
      </w:r>
      <w:r>
        <w:rPr>
          <w:rFonts w:hint="eastAsia" w:ascii="Times New Roman" w:hAnsi="Times New Roman" w:eastAsia="仿宋" w:cs="Times New Roman"/>
          <w:b/>
          <w:sz w:val="24"/>
          <w:szCs w:val="24"/>
          <w:highlight w:val="none"/>
        </w:rPr>
        <w:t>方式</w:t>
      </w:r>
    </w:p>
    <w:p w14:paraId="1F900898">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1.获取时间：</w:t>
      </w:r>
      <w:r>
        <w:rPr>
          <w:rFonts w:hint="eastAsia" w:ascii="仿宋" w:hAnsi="仿宋" w:eastAsia="仿宋" w:cs="仿宋"/>
          <w:b w:val="0"/>
          <w:bCs w:val="0"/>
          <w:kern w:val="2"/>
          <w:sz w:val="24"/>
          <w:szCs w:val="24"/>
          <w:highlight w:val="none"/>
          <w:lang w:val="en-US" w:eastAsia="zh-CN" w:bidi="ar-SA"/>
        </w:rPr>
        <w:t>2024年11月12日至2024年11月18日；</w:t>
      </w:r>
    </w:p>
    <w:p w14:paraId="58B42430">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上午9:00:00-12:00:00；下午12:00:00-17:00:00（北京时间）法定节假日除外</w:t>
      </w:r>
    </w:p>
    <w:p w14:paraId="7AAECFFF">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sz w:val="24"/>
          <w:highlight w:val="none"/>
        </w:rPr>
      </w:pPr>
      <w:r>
        <w:rPr>
          <w:rFonts w:hint="eastAsia" w:ascii="仿宋" w:hAnsi="仿宋" w:eastAsia="仿宋" w:cs="仿宋"/>
          <w:b/>
          <w:bCs/>
          <w:kern w:val="2"/>
          <w:sz w:val="24"/>
          <w:szCs w:val="24"/>
          <w:highlight w:val="none"/>
          <w:lang w:val="en-US" w:eastAsia="zh-CN" w:bidi="ar-SA"/>
        </w:rPr>
        <w:t>2.获取方式：</w:t>
      </w:r>
      <w:r>
        <w:rPr>
          <w:rFonts w:hint="eastAsia" w:ascii="仿宋" w:hAnsi="仿宋" w:eastAsia="仿宋"/>
          <w:sz w:val="24"/>
          <w:highlight w:val="none"/>
        </w:rPr>
        <w:t>凡有意参加本项目的供应商，可自行选择线上或现场的方式获取。本项目磋商文件有偿获取，磋商文件售价：人民币</w:t>
      </w:r>
      <w:r>
        <w:rPr>
          <w:rFonts w:hint="eastAsia" w:ascii="仿宋" w:hAnsi="仿宋" w:eastAsia="仿宋"/>
          <w:sz w:val="24"/>
          <w:highlight w:val="none"/>
          <w:lang w:val="en-US" w:eastAsia="zh-CN"/>
        </w:rPr>
        <w:t>300</w:t>
      </w:r>
      <w:r>
        <w:rPr>
          <w:rFonts w:hint="eastAsia" w:ascii="仿宋" w:hAnsi="仿宋" w:eastAsia="仿宋"/>
          <w:sz w:val="24"/>
          <w:highlight w:val="none"/>
        </w:rPr>
        <w:t>元/份（磋商文件售后不退,磋商资格不能转让）。</w:t>
      </w:r>
    </w:p>
    <w:p w14:paraId="1A4B62AA">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现场获取：经办人员当场提交以下资料：单位介绍信并加盖公章；经办人身份证复印件并加盖公章。</w:t>
      </w:r>
    </w:p>
    <w:p w14:paraId="2893D65B">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网络获取：供应商按照报名介绍信（下载地址：https://pan.baidu.com/s/1bvKRQJJ10McV-VZpTZuwxQ?pwd=htgc）格式要求填写并发送至邮箱：htgczx@qq.com,待采购代理机构审核通过后获取采购文件。</w:t>
      </w:r>
    </w:p>
    <w:p w14:paraId="2DC0C0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八</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提交</w:t>
      </w:r>
      <w:r>
        <w:rPr>
          <w:rFonts w:hint="eastAsia" w:ascii="Times New Roman" w:hAnsi="Times New Roman" w:eastAsia="仿宋" w:cs="Times New Roman"/>
          <w:b/>
          <w:sz w:val="24"/>
          <w:szCs w:val="24"/>
          <w:highlight w:val="none"/>
          <w:lang w:val="en-US" w:eastAsia="zh-CN"/>
        </w:rPr>
        <w:t>首次</w:t>
      </w:r>
      <w:r>
        <w:rPr>
          <w:rFonts w:hint="eastAsia" w:ascii="Times New Roman" w:hAnsi="Times New Roman" w:eastAsia="仿宋" w:cs="Times New Roman"/>
          <w:b/>
          <w:sz w:val="24"/>
          <w:szCs w:val="24"/>
          <w:highlight w:val="none"/>
        </w:rPr>
        <w:t>响应文件截止时间</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参加</w:t>
      </w:r>
      <w:r>
        <w:rPr>
          <w:rFonts w:hint="eastAsia" w:ascii="Times New Roman" w:hAnsi="Times New Roman" w:eastAsia="仿宋" w:cs="Times New Roman"/>
          <w:b/>
          <w:sz w:val="24"/>
          <w:szCs w:val="24"/>
          <w:highlight w:val="none"/>
          <w:lang w:eastAsia="zh-CN"/>
        </w:rPr>
        <w:t>磋商</w:t>
      </w:r>
      <w:r>
        <w:rPr>
          <w:rFonts w:hint="eastAsia" w:ascii="Times New Roman" w:hAnsi="Times New Roman" w:eastAsia="仿宋" w:cs="Times New Roman"/>
          <w:b/>
          <w:sz w:val="24"/>
          <w:szCs w:val="24"/>
          <w:highlight w:val="none"/>
        </w:rPr>
        <w:t>的时间</w:t>
      </w:r>
      <w:r>
        <w:rPr>
          <w:rFonts w:hint="eastAsia" w:ascii="Times New Roman" w:hAnsi="Times New Roman" w:eastAsia="仿宋" w:cs="Times New Roman"/>
          <w:b/>
          <w:sz w:val="24"/>
          <w:szCs w:val="24"/>
          <w:highlight w:val="none"/>
          <w:lang w:eastAsia="zh-CN"/>
        </w:rPr>
        <w:t>）</w:t>
      </w:r>
    </w:p>
    <w:p w14:paraId="25152E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2024年11</w:t>
      </w:r>
      <w:r>
        <w:rPr>
          <w:rFonts w:ascii="Times New Roman" w:hAnsi="Times New Roman" w:eastAsia="仿宋" w:cs="Times New Roman"/>
          <w:sz w:val="24"/>
          <w:szCs w:val="24"/>
          <w:highlight w:val="none"/>
        </w:rPr>
        <w:t>月</w:t>
      </w:r>
      <w:r>
        <w:rPr>
          <w:rFonts w:hint="eastAsia" w:ascii="Times New Roman" w:hAnsi="Times New Roman" w:eastAsia="仿宋" w:cs="Times New Roman"/>
          <w:sz w:val="24"/>
          <w:szCs w:val="24"/>
          <w:highlight w:val="none"/>
          <w:lang w:val="en-US" w:eastAsia="zh-CN"/>
        </w:rPr>
        <w:t>22</w:t>
      </w:r>
      <w:r>
        <w:rPr>
          <w:rFonts w:ascii="Times New Roman" w:hAnsi="Times New Roman" w:eastAsia="仿宋" w:cs="Times New Roman"/>
          <w:sz w:val="24"/>
          <w:szCs w:val="24"/>
          <w:highlight w:val="none"/>
        </w:rPr>
        <w:t>日</w:t>
      </w:r>
      <w:r>
        <w:rPr>
          <w:rFonts w:hint="eastAsia" w:ascii="Times New Roman" w:hAnsi="Times New Roman" w:eastAsia="仿宋" w:cs="Times New Roman"/>
          <w:sz w:val="24"/>
          <w:szCs w:val="24"/>
          <w:highlight w:val="none"/>
          <w:lang w:val="en-US" w:eastAsia="zh-CN"/>
        </w:rPr>
        <w:t>10</w:t>
      </w:r>
      <w:r>
        <w:rPr>
          <w:rFonts w:ascii="Times New Roman" w:hAnsi="Times New Roman" w:eastAsia="仿宋" w:cs="Times New Roman"/>
          <w:sz w:val="24"/>
          <w:szCs w:val="24"/>
          <w:highlight w:val="none"/>
        </w:rPr>
        <w:t>时</w:t>
      </w:r>
      <w:r>
        <w:rPr>
          <w:rFonts w:hint="eastAsia" w:ascii="Times New Roman" w:hAnsi="Times New Roman" w:eastAsia="仿宋" w:cs="Times New Roman"/>
          <w:sz w:val="24"/>
          <w:szCs w:val="24"/>
          <w:highlight w:val="none"/>
          <w:lang w:val="en-US" w:eastAsia="zh-CN"/>
        </w:rPr>
        <w:t>30</w:t>
      </w:r>
      <w:r>
        <w:rPr>
          <w:rFonts w:ascii="Times New Roman" w:hAnsi="Times New Roman" w:eastAsia="仿宋" w:cs="Times New Roman"/>
          <w:sz w:val="24"/>
          <w:szCs w:val="24"/>
          <w:highlight w:val="none"/>
        </w:rPr>
        <w:t>分（北京时间）</w:t>
      </w:r>
    </w:p>
    <w:p w14:paraId="6FA4802A">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bookmarkStart w:id="6" w:name="PO_默认文件内容_7"/>
      <w:r>
        <w:rPr>
          <w:rFonts w:hint="eastAsia" w:ascii="Times New Roman" w:hAnsi="Times New Roman" w:eastAsia="仿宋" w:cs="Times New Roman"/>
          <w:kern w:val="2"/>
          <w:sz w:val="24"/>
          <w:szCs w:val="24"/>
          <w:highlight w:val="none"/>
          <w:lang w:val="en-US" w:eastAsia="zh-CN" w:bidi="ar-SA"/>
        </w:rPr>
        <w:t>1.首次响应文件应在提交首次响应文件截止时间前送达磋商地点；</w:t>
      </w:r>
    </w:p>
    <w:p w14:paraId="03E64D80">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2.逾期送达或没有密封的首次响应文件恕不接收。</w:t>
      </w:r>
    </w:p>
    <w:p w14:paraId="3AC646B6">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eastAsia="zh-CN"/>
        </w:rPr>
        <w:t>九</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eastAsia="zh-CN"/>
        </w:rPr>
        <w:t>提交首次</w:t>
      </w:r>
      <w:r>
        <w:rPr>
          <w:rFonts w:hint="eastAsia" w:ascii="Times New Roman" w:hAnsi="Times New Roman" w:eastAsia="仿宋" w:cs="Times New Roman"/>
          <w:b/>
          <w:sz w:val="24"/>
          <w:szCs w:val="24"/>
          <w:highlight w:val="none"/>
        </w:rPr>
        <w:t>响应文件</w:t>
      </w:r>
      <w:r>
        <w:rPr>
          <w:rFonts w:hint="eastAsia" w:ascii="Times New Roman" w:hAnsi="Times New Roman" w:eastAsia="仿宋" w:cs="Times New Roman"/>
          <w:b/>
          <w:sz w:val="24"/>
          <w:szCs w:val="24"/>
          <w:highlight w:val="none"/>
          <w:lang w:val="en-US" w:eastAsia="zh-CN"/>
        </w:rPr>
        <w:t>地点和磋商地点</w:t>
      </w:r>
    </w:p>
    <w:bookmarkEnd w:id="6"/>
    <w:p w14:paraId="5EBD13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u w:val="none"/>
          <w:lang w:val="en-US" w:eastAsia="zh-CN"/>
        </w:rPr>
      </w:pPr>
      <w:r>
        <w:rPr>
          <w:rFonts w:hint="eastAsia" w:ascii="Times New Roman" w:hAnsi="Times New Roman" w:eastAsia="仿宋" w:cs="Times New Roman"/>
          <w:sz w:val="24"/>
          <w:szCs w:val="24"/>
          <w:highlight w:val="none"/>
          <w:u w:val="none"/>
          <w:lang w:val="en-US" w:eastAsia="zh-CN"/>
        </w:rPr>
        <w:t>成都市武侯区武侯大道顺江段77号汇点广场（吾悦广场）2座709号</w:t>
      </w:r>
    </w:p>
    <w:p w14:paraId="67489F1B">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十、联系方式</w:t>
      </w:r>
    </w:p>
    <w:p w14:paraId="0B7AEB1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采购人：成都市技师学院</w:t>
      </w:r>
    </w:p>
    <w:p w14:paraId="68BC6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地址</w:t>
      </w:r>
      <w:r>
        <w:rPr>
          <w:rFonts w:hint="eastAsia" w:ascii="Times New Roman" w:hAnsi="Times New Roman" w:eastAsia="仿宋" w:cs="Times New Roman"/>
          <w:sz w:val="24"/>
          <w:szCs w:val="24"/>
          <w:highlight w:val="none"/>
        </w:rPr>
        <w:t>：</w:t>
      </w:r>
      <w:r>
        <w:rPr>
          <w:rFonts w:hint="eastAsia" w:ascii="仿宋" w:hAnsi="仿宋" w:eastAsia="仿宋"/>
          <w:bCs/>
          <w:sz w:val="24"/>
          <w:highlight w:val="none"/>
          <w:lang w:eastAsia="zh-CN"/>
        </w:rPr>
        <w:t>成都市郫都区红光街道港通北三路1899号</w:t>
      </w:r>
    </w:p>
    <w:p w14:paraId="2DB2A4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王老师</w:t>
      </w:r>
    </w:p>
    <w:p w14:paraId="1D8255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028-64907283</w:t>
      </w:r>
    </w:p>
    <w:p w14:paraId="11FF9E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rPr>
        <w:t>采购代理机构：</w:t>
      </w:r>
      <w:r>
        <w:rPr>
          <w:rFonts w:hint="eastAsia" w:ascii="Times New Roman" w:hAnsi="Times New Roman" w:eastAsia="仿宋" w:cs="Times New Roman"/>
          <w:b/>
          <w:bCs/>
          <w:sz w:val="24"/>
          <w:szCs w:val="24"/>
          <w:highlight w:val="none"/>
          <w:lang w:val="en-US" w:eastAsia="zh-CN"/>
        </w:rPr>
        <w:t>恒泰工程咨询集团有限公司</w:t>
      </w:r>
    </w:p>
    <w:p w14:paraId="6F56B6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地址：</w:t>
      </w:r>
      <w:r>
        <w:rPr>
          <w:rFonts w:hint="eastAsia" w:ascii="Times New Roman" w:hAnsi="Times New Roman" w:eastAsia="仿宋" w:cs="Times New Roman"/>
          <w:sz w:val="24"/>
          <w:szCs w:val="24"/>
          <w:highlight w:val="none"/>
          <w:lang w:val="en-US" w:eastAsia="zh-CN"/>
        </w:rPr>
        <w:t>成都市武侯区武侯大道顺江段77号汇点广场（吾悦广场）2座709号</w:t>
      </w:r>
    </w:p>
    <w:p w14:paraId="4525BD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王女士</w:t>
      </w:r>
    </w:p>
    <w:p w14:paraId="07E2A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8"/>
          <w:szCs w:val="28"/>
          <w:highlight w:val="none"/>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19950260831</w:t>
      </w:r>
    </w:p>
    <w:p w14:paraId="5054A35B">
      <w:pPr>
        <w:rPr>
          <w:rFonts w:hint="eastAsia" w:ascii="仿宋" w:hAnsi="仿宋" w:eastAsia="仿宋" w:cs="仿宋"/>
          <w:b/>
          <w:bCs w:val="0"/>
          <w:sz w:val="36"/>
          <w:szCs w:val="32"/>
          <w:highlight w:val="none"/>
          <w:lang w:eastAsia="zh-CN"/>
        </w:rPr>
      </w:pPr>
      <w:bookmarkStart w:id="7" w:name="_Toc23677"/>
      <w:bookmarkStart w:id="8" w:name="_Toc27543"/>
      <w:r>
        <w:rPr>
          <w:rFonts w:hint="eastAsia" w:ascii="仿宋" w:hAnsi="仿宋" w:eastAsia="仿宋" w:cs="仿宋"/>
          <w:b/>
          <w:bCs w:val="0"/>
          <w:sz w:val="36"/>
          <w:szCs w:val="32"/>
          <w:highlight w:val="none"/>
          <w:lang w:eastAsia="zh-CN"/>
        </w:rPr>
        <w:br w:type="page"/>
      </w:r>
    </w:p>
    <w:p w14:paraId="4B7AFECF">
      <w:pPr>
        <w:widowControl/>
        <w:spacing w:line="520" w:lineRule="exact"/>
        <w:jc w:val="center"/>
        <w:outlineLvl w:val="0"/>
        <w:rPr>
          <w:highlight w:val="none"/>
        </w:rPr>
      </w:pPr>
      <w:r>
        <w:rPr>
          <w:rFonts w:hint="eastAsia" w:ascii="仿宋" w:hAnsi="仿宋" w:eastAsia="仿宋" w:cs="仿宋"/>
          <w:b/>
          <w:bCs w:val="0"/>
          <w:sz w:val="36"/>
          <w:szCs w:val="32"/>
          <w:highlight w:val="none"/>
          <w:lang w:eastAsia="zh-CN"/>
        </w:rPr>
        <w:t>第二章</w:t>
      </w:r>
      <w:r>
        <w:rPr>
          <w:rFonts w:hint="eastAsia" w:ascii="仿宋" w:hAnsi="仿宋" w:eastAsia="仿宋" w:cs="仿宋"/>
          <w:b/>
          <w:bCs w:val="0"/>
          <w:sz w:val="36"/>
          <w:szCs w:val="32"/>
          <w:highlight w:val="none"/>
          <w:lang w:val="en-US" w:eastAsia="zh-CN"/>
        </w:rPr>
        <w:t xml:space="preserve"> </w:t>
      </w:r>
      <w:r>
        <w:rPr>
          <w:rFonts w:hint="eastAsia" w:ascii="仿宋" w:hAnsi="仿宋" w:eastAsia="仿宋" w:cs="仿宋"/>
          <w:b/>
          <w:bCs w:val="0"/>
          <w:sz w:val="36"/>
          <w:szCs w:val="32"/>
          <w:highlight w:val="none"/>
          <w:lang w:eastAsia="zh-CN"/>
        </w:rPr>
        <w:t>磋商须知</w:t>
      </w:r>
      <w:bookmarkEnd w:id="7"/>
      <w:bookmarkEnd w:id="8"/>
    </w:p>
    <w:p w14:paraId="61DA5DC1">
      <w:pPr>
        <w:spacing w:line="500" w:lineRule="exact"/>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一、供应商</w:t>
      </w:r>
      <w:r>
        <w:rPr>
          <w:rFonts w:ascii="Times New Roman" w:hAnsi="Times New Roman" w:eastAsia="仿宋" w:cs="Times New Roman"/>
          <w:b/>
          <w:sz w:val="28"/>
          <w:szCs w:val="28"/>
          <w:highlight w:val="none"/>
        </w:rPr>
        <w:t>须知附表</w:t>
      </w:r>
    </w:p>
    <w:tbl>
      <w:tblPr>
        <w:tblStyle w:val="24"/>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661"/>
        <w:gridCol w:w="6746"/>
      </w:tblGrid>
      <w:tr w14:paraId="085874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74154D09">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1661" w:type="dxa"/>
            <w:tcBorders>
              <w:top w:val="single" w:color="auto" w:sz="18" w:space="0"/>
            </w:tcBorders>
            <w:vAlign w:val="center"/>
          </w:tcPr>
          <w:p w14:paraId="192548E7">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应知事项</w:t>
            </w:r>
          </w:p>
        </w:tc>
        <w:tc>
          <w:tcPr>
            <w:tcW w:w="6746" w:type="dxa"/>
            <w:tcBorders>
              <w:top w:val="single" w:color="auto" w:sz="18" w:space="0"/>
            </w:tcBorders>
            <w:vAlign w:val="center"/>
          </w:tcPr>
          <w:p w14:paraId="30C0E45F">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说明和要求</w:t>
            </w:r>
          </w:p>
        </w:tc>
      </w:tr>
      <w:tr w14:paraId="1DC150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39886C96">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3A71543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采购预算</w:t>
            </w:r>
          </w:p>
          <w:p w14:paraId="548DC216">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44B42C2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人民币：20.7万元</w:t>
            </w:r>
          </w:p>
          <w:p w14:paraId="77AA93AF">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sz w:val="22"/>
                <w:szCs w:val="22"/>
                <w:highlight w:val="none"/>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超过采购预算的报价，其响应文件作无效处理</w:t>
            </w:r>
          </w:p>
        </w:tc>
      </w:tr>
      <w:tr w14:paraId="1FD955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0763EF6B">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CC4D482">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最高限价</w:t>
            </w:r>
          </w:p>
          <w:p w14:paraId="6F53A8D3">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2E365F51">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人民币：20.7万元</w:t>
            </w:r>
          </w:p>
          <w:p w14:paraId="48B67A0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超过最高限价</w:t>
            </w:r>
            <w:r>
              <w:rPr>
                <w:rFonts w:hint="eastAsia" w:ascii="仿宋" w:hAnsi="仿宋" w:eastAsia="仿宋" w:cs="仿宋"/>
                <w:color w:val="000000" w:themeColor="text1"/>
                <w:sz w:val="22"/>
                <w:szCs w:val="22"/>
                <w:highlight w:val="none"/>
                <w:lang w:eastAsia="zh-CN"/>
                <w14:textFill>
                  <w14:solidFill>
                    <w14:schemeClr w14:val="tx1"/>
                  </w14:solidFill>
                </w14:textFill>
              </w:rPr>
              <w:t>的报价</w:t>
            </w:r>
            <w:r>
              <w:rPr>
                <w:rFonts w:hint="eastAsia" w:ascii="仿宋" w:hAnsi="仿宋" w:eastAsia="仿宋" w:cs="仿宋"/>
                <w:color w:val="000000" w:themeColor="text1"/>
                <w:sz w:val="22"/>
                <w:szCs w:val="22"/>
                <w:highlight w:val="none"/>
                <w14:textFill>
                  <w14:solidFill>
                    <w14:schemeClr w14:val="tx1"/>
                  </w14:solidFill>
                </w14:textFill>
              </w:rPr>
              <w:t>，其</w:t>
            </w:r>
            <w:r>
              <w:rPr>
                <w:rFonts w:hint="eastAsia" w:ascii="仿宋" w:hAnsi="仿宋" w:eastAsia="仿宋" w:cs="仿宋"/>
                <w:color w:val="000000" w:themeColor="text1"/>
                <w:sz w:val="22"/>
                <w:szCs w:val="22"/>
                <w:highlight w:val="none"/>
                <w:lang w:eastAsia="zh-CN"/>
                <w14:textFill>
                  <w14:solidFill>
                    <w14:schemeClr w14:val="tx1"/>
                  </w14:solidFill>
                </w14:textFill>
              </w:rPr>
              <w:t>响应</w:t>
            </w:r>
            <w:r>
              <w:rPr>
                <w:rFonts w:hint="eastAsia" w:ascii="仿宋" w:hAnsi="仿宋" w:eastAsia="仿宋" w:cs="仿宋"/>
                <w:color w:val="000000" w:themeColor="text1"/>
                <w:sz w:val="22"/>
                <w:szCs w:val="22"/>
                <w:highlight w:val="none"/>
                <w14:textFill>
                  <w14:solidFill>
                    <w14:schemeClr w14:val="tx1"/>
                  </w14:solidFill>
                </w14:textFill>
              </w:rPr>
              <w:t>文件</w:t>
            </w:r>
            <w:r>
              <w:rPr>
                <w:rFonts w:hint="eastAsia" w:ascii="仿宋" w:hAnsi="仿宋" w:eastAsia="仿宋" w:cs="仿宋"/>
                <w:color w:val="000000" w:themeColor="text1"/>
                <w:sz w:val="22"/>
                <w:szCs w:val="22"/>
                <w:highlight w:val="none"/>
                <w:lang w:val="en-US" w:eastAsia="zh-CN"/>
                <w14:textFill>
                  <w14:solidFill>
                    <w14:schemeClr w14:val="tx1"/>
                  </w14:solidFill>
                </w14:textFill>
              </w:rPr>
              <w:t>作</w:t>
            </w:r>
            <w:r>
              <w:rPr>
                <w:rFonts w:hint="eastAsia" w:ascii="仿宋" w:hAnsi="仿宋" w:eastAsia="仿宋" w:cs="仿宋"/>
                <w:color w:val="000000" w:themeColor="text1"/>
                <w:sz w:val="22"/>
                <w:szCs w:val="22"/>
                <w:highlight w:val="none"/>
                <w14:textFill>
                  <w14:solidFill>
                    <w14:schemeClr w14:val="tx1"/>
                  </w14:solidFill>
                </w14:textFill>
              </w:rPr>
              <w:t>无效处理</w:t>
            </w:r>
          </w:p>
        </w:tc>
      </w:tr>
      <w:tr w14:paraId="34ED26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DBB5744">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56303E2">
            <w:pPr>
              <w:pStyle w:val="4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kern w:val="0"/>
                <w:sz w:val="22"/>
                <w:szCs w:val="22"/>
                <w:highlight w:val="none"/>
                <w:lang w:val="zh-CN" w:eastAsia="zh-CN" w:bidi="ar-SA"/>
              </w:rPr>
            </w:pPr>
            <w:r>
              <w:rPr>
                <w:rFonts w:ascii="Times New Roman" w:hAnsi="Times New Roman" w:eastAsia="仿宋" w:cs="Times New Roman"/>
                <w:b w:val="0"/>
                <w:bCs w:val="0"/>
                <w:kern w:val="0"/>
                <w:sz w:val="22"/>
                <w:szCs w:val="22"/>
                <w:highlight w:val="none"/>
                <w:lang w:val="zh-CN" w:eastAsia="zh-CN" w:bidi="ar-SA"/>
              </w:rPr>
              <w:t>不正当竞争预防措施</w:t>
            </w:r>
          </w:p>
          <w:p w14:paraId="1D4DE2E3">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302847C3">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磋商小组认为供应商的报价明显低于其他通过实质性响应审查供应商的报价，有可能影响产品质量或者不能诚信履约的，应当要求其在评审现场合理的时间内提供书面说明，并提交相关证明材料；磋商小组认为其证明材料不能证明其报价合理性，应当将其作为无效处理</w:t>
            </w:r>
          </w:p>
        </w:tc>
      </w:tr>
      <w:tr w14:paraId="78A4D5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A859373">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65E9AF93">
            <w:pPr>
              <w:pStyle w:val="4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响应</w:t>
            </w:r>
            <w:r>
              <w:rPr>
                <w:rFonts w:hint="eastAsia" w:ascii="Times New Roman" w:hAnsi="Times New Roman" w:eastAsia="仿宋" w:cs="Times New Roman"/>
                <w:b w:val="0"/>
                <w:bCs w:val="0"/>
                <w:sz w:val="22"/>
                <w:szCs w:val="22"/>
                <w:highlight w:val="none"/>
                <w:lang w:val="en-US" w:eastAsia="zh-CN"/>
              </w:rPr>
              <w:t>文件</w:t>
            </w:r>
            <w:r>
              <w:rPr>
                <w:rFonts w:ascii="Times New Roman" w:hAnsi="Times New Roman" w:eastAsia="仿宋" w:cs="Times New Roman"/>
                <w:b w:val="0"/>
                <w:bCs w:val="0"/>
                <w:sz w:val="22"/>
                <w:szCs w:val="22"/>
                <w:highlight w:val="none"/>
                <w:lang w:val="zh-CN"/>
              </w:rPr>
              <w:t>有效期</w:t>
            </w:r>
          </w:p>
          <w:p w14:paraId="6F730A54">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7813C38A">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提交</w:t>
            </w:r>
            <w:r>
              <w:rPr>
                <w:rFonts w:hint="eastAsia" w:ascii="Times New Roman" w:hAnsi="Times New Roman" w:eastAsia="仿宋" w:cs="Times New Roman"/>
                <w:sz w:val="22"/>
                <w:szCs w:val="22"/>
                <w:highlight w:val="none"/>
                <w:lang w:val="en-US" w:eastAsia="zh-CN"/>
              </w:rPr>
              <w:t>首次</w:t>
            </w:r>
            <w:r>
              <w:rPr>
                <w:rFonts w:hint="eastAsia" w:ascii="Times New Roman" w:hAnsi="Times New Roman" w:eastAsia="仿宋" w:cs="Times New Roman"/>
                <w:sz w:val="22"/>
                <w:szCs w:val="22"/>
                <w:highlight w:val="none"/>
                <w:lang w:val="zh-CN" w:eastAsia="zh-CN"/>
              </w:rPr>
              <w:t>响应文件截止之日起90</w:t>
            </w:r>
            <w:r>
              <w:rPr>
                <w:rFonts w:hint="eastAsia" w:ascii="Times New Roman" w:hAnsi="Times New Roman" w:eastAsia="仿宋" w:cs="Times New Roman"/>
                <w:sz w:val="22"/>
                <w:szCs w:val="22"/>
                <w:highlight w:val="none"/>
                <w:lang w:val="en-US" w:eastAsia="zh-CN"/>
              </w:rPr>
              <w:t>日</w:t>
            </w:r>
          </w:p>
        </w:tc>
      </w:tr>
      <w:tr w14:paraId="6210F4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5E745A">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2A52AF1E">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合同分包</w:t>
            </w:r>
          </w:p>
          <w:p w14:paraId="409C2C6F">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67FCE253">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FF0000"/>
                <w:sz w:val="22"/>
                <w:szCs w:val="22"/>
                <w:highlight w:val="none"/>
                <w:lang w:val="en-US"/>
              </w:rPr>
            </w:pPr>
            <w:r>
              <w:rPr>
                <w:rFonts w:hint="eastAsia" w:ascii="Times New Roman" w:hAnsi="Times New Roman" w:eastAsia="仿宋" w:cs="Times New Roman"/>
                <w:sz w:val="22"/>
                <w:szCs w:val="22"/>
                <w:highlight w:val="none"/>
                <w:lang w:val="en-US" w:eastAsia="zh-CN"/>
              </w:rPr>
              <w:t>不接受</w:t>
            </w:r>
          </w:p>
        </w:tc>
      </w:tr>
      <w:tr w14:paraId="622216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BDFD34">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036019EA">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联合体</w:t>
            </w:r>
          </w:p>
          <w:p w14:paraId="6C645D67">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15A0C31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14:paraId="2B25F8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46" w:hRule="atLeast"/>
          <w:jc w:val="center"/>
        </w:trPr>
        <w:tc>
          <w:tcPr>
            <w:tcW w:w="524" w:type="dxa"/>
            <w:vAlign w:val="center"/>
          </w:tcPr>
          <w:p w14:paraId="0B6E811B">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F5FE313">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响应文件的份数</w:t>
            </w:r>
          </w:p>
        </w:tc>
        <w:tc>
          <w:tcPr>
            <w:tcW w:w="6746" w:type="dxa"/>
            <w:vAlign w:val="center"/>
          </w:tcPr>
          <w:p w14:paraId="25BBC366">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“资格性</w:t>
            </w:r>
            <w:r>
              <w:rPr>
                <w:rFonts w:hint="eastAsia" w:ascii="Times New Roman" w:hAnsi="Times New Roman" w:eastAsia="仿宋" w:cs="Times New Roman"/>
                <w:kern w:val="0"/>
                <w:sz w:val="22"/>
                <w:szCs w:val="22"/>
                <w:highlight w:val="none"/>
                <w:lang w:val="en-US" w:eastAsia="zh-CN" w:bidi="ar-SA"/>
              </w:rPr>
              <w:t>响应</w:t>
            </w:r>
            <w:r>
              <w:rPr>
                <w:rFonts w:hint="eastAsia" w:ascii="Times New Roman" w:hAnsi="Times New Roman" w:eastAsia="仿宋" w:cs="Times New Roman"/>
                <w:kern w:val="0"/>
                <w:sz w:val="22"/>
                <w:szCs w:val="22"/>
                <w:highlight w:val="none"/>
                <w:lang w:val="zh-CN" w:eastAsia="zh-CN" w:bidi="ar-SA"/>
              </w:rPr>
              <w:t>文件”正本1份、副本</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份；</w:t>
            </w:r>
            <w:r>
              <w:rPr>
                <w:rFonts w:hint="eastAsia" w:ascii="Times New Roman" w:hAnsi="Times New Roman" w:eastAsia="仿宋" w:cs="Times New Roman"/>
                <w:b/>
                <w:bCs/>
                <w:kern w:val="0"/>
                <w:sz w:val="22"/>
                <w:szCs w:val="22"/>
                <w:highlight w:val="none"/>
                <w:lang w:val="zh-CN" w:eastAsia="zh-CN" w:bidi="ar-SA"/>
              </w:rPr>
              <w:t>（实质性要求）</w:t>
            </w:r>
          </w:p>
          <w:p w14:paraId="58D66793">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其他响应</w:t>
            </w:r>
            <w:r>
              <w:rPr>
                <w:rFonts w:hint="eastAsia" w:ascii="Times New Roman" w:hAnsi="Times New Roman" w:eastAsia="仿宋" w:cs="Times New Roman"/>
                <w:kern w:val="0"/>
                <w:sz w:val="22"/>
                <w:szCs w:val="22"/>
                <w:highlight w:val="none"/>
                <w:lang w:val="zh-CN" w:eastAsia="zh-CN" w:bidi="ar-SA"/>
              </w:rPr>
              <w:t>文件”正本1份、副本</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份；</w:t>
            </w:r>
            <w:r>
              <w:rPr>
                <w:rFonts w:hint="eastAsia" w:ascii="Times New Roman" w:hAnsi="Times New Roman" w:eastAsia="仿宋" w:cs="Times New Roman"/>
                <w:b/>
                <w:bCs/>
                <w:kern w:val="0"/>
                <w:sz w:val="22"/>
                <w:szCs w:val="22"/>
                <w:highlight w:val="none"/>
                <w:lang w:val="zh-CN" w:eastAsia="zh-CN" w:bidi="ar-SA"/>
              </w:rPr>
              <w:t>（实质性要求）</w:t>
            </w:r>
          </w:p>
          <w:p w14:paraId="7F3D62F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“电子档”1份（U盘），U盘中“加盖</w:t>
            </w:r>
            <w:r>
              <w:rPr>
                <w:rFonts w:hint="eastAsia" w:ascii="Times New Roman" w:hAnsi="Times New Roman" w:eastAsia="仿宋" w:cs="Times New Roman"/>
                <w:kern w:val="0"/>
                <w:sz w:val="22"/>
                <w:szCs w:val="22"/>
                <w:highlight w:val="none"/>
                <w:lang w:val="en-US" w:eastAsia="zh-CN" w:bidi="ar-SA"/>
              </w:rPr>
              <w:t>供应商</w:t>
            </w:r>
            <w:r>
              <w:rPr>
                <w:rFonts w:hint="eastAsia" w:ascii="Times New Roman" w:hAnsi="Times New Roman" w:eastAsia="仿宋" w:cs="Times New Roman"/>
                <w:kern w:val="0"/>
                <w:sz w:val="22"/>
                <w:szCs w:val="22"/>
                <w:highlight w:val="none"/>
                <w:lang w:val="zh-CN" w:eastAsia="zh-CN" w:bidi="ar-SA"/>
              </w:rPr>
              <w:t>公章的PDF版</w:t>
            </w:r>
            <w:r>
              <w:rPr>
                <w:rFonts w:hint="eastAsia" w:ascii="Times New Roman" w:hAnsi="Times New Roman" w:eastAsia="仿宋" w:cs="Times New Roman"/>
                <w:kern w:val="0"/>
                <w:sz w:val="22"/>
                <w:szCs w:val="22"/>
                <w:highlight w:val="none"/>
                <w:lang w:val="en-US" w:eastAsia="zh-CN" w:bidi="ar-SA"/>
              </w:rPr>
              <w:t>文件</w:t>
            </w:r>
            <w:r>
              <w:rPr>
                <w:rFonts w:hint="eastAsia" w:ascii="Times New Roman" w:hAnsi="Times New Roman" w:eastAsia="仿宋" w:cs="Times New Roman"/>
                <w:kern w:val="0"/>
                <w:sz w:val="22"/>
                <w:szCs w:val="22"/>
                <w:highlight w:val="none"/>
                <w:lang w:val="zh-CN" w:eastAsia="zh-CN" w:bidi="ar-SA"/>
              </w:rPr>
              <w:t>”</w:t>
            </w:r>
          </w:p>
        </w:tc>
      </w:tr>
      <w:tr w14:paraId="0725A6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17914F0">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8F88346">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磋商保证金</w:t>
            </w:r>
          </w:p>
          <w:p w14:paraId="29D08F92">
            <w:pPr>
              <w:pStyle w:val="44"/>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2D95661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不收取</w:t>
            </w:r>
          </w:p>
        </w:tc>
      </w:tr>
      <w:tr w14:paraId="7239AE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82C4AC5">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414F2892">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履约保证金</w:t>
            </w:r>
          </w:p>
          <w:p w14:paraId="3B6D6BF2">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bCs/>
                <w:sz w:val="22"/>
                <w:szCs w:val="22"/>
                <w:highlight w:val="none"/>
                <w:lang w:val="zh-CN" w:eastAsia="zh-CN"/>
              </w:rPr>
              <w:t>（实质性要求）</w:t>
            </w:r>
          </w:p>
        </w:tc>
        <w:tc>
          <w:tcPr>
            <w:tcW w:w="6746" w:type="dxa"/>
            <w:vAlign w:val="center"/>
          </w:tcPr>
          <w:p w14:paraId="2591D8A9">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履约保证金为合同金额的百分之五，供应商应在成交通知书发出之日起至合同签订前以银行转账形式向采购人提交履约保证金。</w:t>
            </w:r>
          </w:p>
          <w:p w14:paraId="0443535F">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履行合同约定(含售后服务)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二十。若因供应商不及时或未提供“收到退还履约保证金的收据”、“履约保证金退还申请”的，则采购人不承担逾期退还违约责任。</w:t>
            </w:r>
          </w:p>
          <w:p w14:paraId="65B2675C">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履约保证金汇入的银行及账号：</w:t>
            </w:r>
          </w:p>
          <w:p w14:paraId="2EC890A7">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 收款账号：成都市技师学院</w:t>
            </w:r>
          </w:p>
          <w:p w14:paraId="23CD54EB">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 开户行：工行成都红光支行</w:t>
            </w:r>
          </w:p>
          <w:p w14:paraId="7F28464B">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default" w:ascii="Times New Roman" w:hAnsi="Times New Roman" w:eastAsia="仿宋" w:cs="Times New Roman"/>
                <w:kern w:val="0"/>
                <w:sz w:val="22"/>
                <w:szCs w:val="22"/>
                <w:highlight w:val="none"/>
                <w:lang w:val="en-US" w:eastAsia="zh-CN" w:bidi="ar-SA"/>
              </w:rPr>
              <w:t> 银行账号：4402054609100031151</w:t>
            </w:r>
          </w:p>
          <w:p w14:paraId="198845DD">
            <w:pPr>
              <w:keepNext w:val="0"/>
              <w:keepLines w:val="0"/>
              <w:pageBreakBefore w:val="0"/>
              <w:widowControl w:val="0"/>
              <w:kinsoku/>
              <w:wordWrap/>
              <w:overflowPunct/>
              <w:topLinePunct w:val="0"/>
              <w:bidi w:val="0"/>
              <w:snapToGrid/>
              <w:spacing w:line="360" w:lineRule="auto"/>
              <w:ind w:left="210" w:leftChars="100"/>
              <w:textAlignment w:val="auto"/>
              <w:rPr>
                <w:rFonts w:hint="default"/>
                <w:sz w:val="22"/>
                <w:szCs w:val="22"/>
                <w:highlight w:val="none"/>
                <w:lang w:val="en-US" w:eastAsia="zh-CN"/>
              </w:rPr>
            </w:pPr>
          </w:p>
        </w:tc>
      </w:tr>
      <w:tr w14:paraId="54CB1E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C4763B2">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39730645">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sz w:val="22"/>
                <w:szCs w:val="22"/>
                <w:highlight w:val="none"/>
                <w:lang w:val="zh-CN" w:eastAsia="zh-CN"/>
              </w:rPr>
            </w:pPr>
            <w:r>
              <w:rPr>
                <w:rFonts w:hint="eastAsia" w:ascii="Times New Roman" w:hAnsi="Times New Roman" w:eastAsia="仿宋" w:cs="Times New Roman"/>
                <w:b w:val="0"/>
                <w:bCs w:val="0"/>
                <w:sz w:val="22"/>
                <w:szCs w:val="22"/>
                <w:highlight w:val="none"/>
                <w:lang w:val="zh-CN" w:eastAsia="zh-CN"/>
              </w:rPr>
              <w:t>现场踏勘和答疑</w:t>
            </w:r>
          </w:p>
        </w:tc>
        <w:tc>
          <w:tcPr>
            <w:tcW w:w="6746" w:type="dxa"/>
            <w:vAlign w:val="center"/>
          </w:tcPr>
          <w:p w14:paraId="75DE861E">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不举行</w:t>
            </w:r>
          </w:p>
        </w:tc>
      </w:tr>
      <w:tr w14:paraId="00F6525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FA45E4F">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C344144">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采购结果</w:t>
            </w:r>
            <w:r>
              <w:rPr>
                <w:rFonts w:hint="eastAsia" w:ascii="Times New Roman" w:hAnsi="Times New Roman" w:eastAsia="仿宋" w:cs="Times New Roman"/>
                <w:b w:val="0"/>
                <w:bCs w:val="0"/>
                <w:kern w:val="0"/>
                <w:sz w:val="22"/>
                <w:szCs w:val="22"/>
                <w:highlight w:val="none"/>
                <w:lang w:val="zh-CN" w:eastAsia="zh-CN" w:bidi="ar-SA"/>
              </w:rPr>
              <w:t>公告</w:t>
            </w:r>
          </w:p>
        </w:tc>
        <w:tc>
          <w:tcPr>
            <w:tcW w:w="6746" w:type="dxa"/>
            <w:vAlign w:val="center"/>
          </w:tcPr>
          <w:p w14:paraId="189FB95E">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公告内容：成交供应商名称和成交金额；</w:t>
            </w:r>
          </w:p>
        </w:tc>
      </w:tr>
      <w:tr w14:paraId="25F834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AC5EF54">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9B56C61">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异议</w:t>
            </w:r>
          </w:p>
        </w:tc>
        <w:tc>
          <w:tcPr>
            <w:tcW w:w="6746" w:type="dxa"/>
            <w:vAlign w:val="center"/>
          </w:tcPr>
          <w:p w14:paraId="75057D5B">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（1）联系电话：19950260831</w:t>
            </w:r>
          </w:p>
          <w:p w14:paraId="3F415127">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2</w:t>
            </w:r>
            <w:r>
              <w:rPr>
                <w:rFonts w:hint="eastAsia" w:ascii="Times New Roman" w:hAnsi="Times New Roman" w:eastAsia="仿宋" w:cs="Times New Roman"/>
                <w:kern w:val="0"/>
                <w:sz w:val="22"/>
                <w:szCs w:val="22"/>
                <w:highlight w:val="none"/>
                <w:lang w:val="zh-CN" w:eastAsia="zh-CN" w:bidi="ar-SA"/>
              </w:rPr>
              <w:t>）提交地址：</w:t>
            </w:r>
            <w:r>
              <w:rPr>
                <w:rFonts w:hint="eastAsia" w:ascii="Times New Roman" w:hAnsi="Times New Roman" w:eastAsia="仿宋" w:cs="Times New Roman"/>
                <w:kern w:val="0"/>
                <w:sz w:val="22"/>
                <w:szCs w:val="22"/>
                <w:highlight w:val="none"/>
                <w:lang w:val="en-US" w:eastAsia="zh-CN" w:bidi="ar-SA"/>
              </w:rPr>
              <w:t>成</w:t>
            </w:r>
            <w:r>
              <w:rPr>
                <w:rFonts w:hint="eastAsia" w:ascii="Times New Roman" w:hAnsi="Times New Roman" w:eastAsia="仿宋" w:cs="Times New Roman"/>
                <w:kern w:val="0"/>
                <w:sz w:val="22"/>
                <w:szCs w:val="22"/>
                <w:highlight w:val="none"/>
                <w:lang w:val="zh-CN" w:eastAsia="zh-CN" w:bidi="ar-SA"/>
              </w:rPr>
              <w:t>都市武侯区武侯大道顺江段77号汇点广场（吾悦广场）2座709号</w:t>
            </w:r>
          </w:p>
          <w:p w14:paraId="63BBE9A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w:t>
            </w:r>
            <w:r>
              <w:rPr>
                <w:rFonts w:hint="eastAsia" w:ascii="Times New Roman" w:hAnsi="Times New Roman" w:eastAsia="仿宋" w:cs="Times New Roman"/>
                <w:kern w:val="0"/>
                <w:sz w:val="22"/>
                <w:szCs w:val="22"/>
                <w:highlight w:val="none"/>
                <w:lang w:val="en-US" w:eastAsia="zh-CN" w:bidi="ar-SA"/>
              </w:rPr>
              <w:t>3</w:t>
            </w:r>
            <w:r>
              <w:rPr>
                <w:rFonts w:hint="eastAsia" w:ascii="Times New Roman" w:hAnsi="Times New Roman" w:eastAsia="仿宋" w:cs="Times New Roman"/>
                <w:kern w:val="0"/>
                <w:sz w:val="22"/>
                <w:szCs w:val="22"/>
                <w:highlight w:val="none"/>
                <w:lang w:val="zh-CN" w:eastAsia="zh-CN" w:bidi="ar-SA"/>
              </w:rPr>
              <w:t>）提交方式：书面形式；</w:t>
            </w:r>
          </w:p>
          <w:p w14:paraId="4B678A7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（4）提出时间：供应商认为采购文件、采购过程、成交或者成交结果使自己的权益受到损害的，可以在知道或者应知其权益受到损害之日起7个工作日内提出异议；</w:t>
            </w:r>
          </w:p>
          <w:p w14:paraId="6F1F846A">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（5）提出要求：供应商应一次性提出针对本项目的异议，且异议须提供相应的依据；</w:t>
            </w:r>
          </w:p>
          <w:p w14:paraId="0238553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b/>
                <w:bCs/>
                <w:kern w:val="0"/>
                <w:sz w:val="22"/>
                <w:szCs w:val="22"/>
                <w:highlight w:val="none"/>
                <w:lang w:val="en-US" w:eastAsia="zh-CN" w:bidi="ar-SA"/>
              </w:rPr>
            </w:pPr>
            <w:r>
              <w:rPr>
                <w:rFonts w:hint="eastAsia" w:ascii="Times New Roman" w:hAnsi="Times New Roman" w:eastAsia="仿宋" w:cs="Times New Roman"/>
                <w:kern w:val="0"/>
                <w:sz w:val="22"/>
                <w:szCs w:val="22"/>
                <w:highlight w:val="none"/>
                <w:lang w:val="en-US" w:eastAsia="zh-CN" w:bidi="ar-SA"/>
              </w:rPr>
              <w:t>（6）异议说明：针对供应商提出的异议，采购代理机构将一次性作出异议说明</w:t>
            </w:r>
          </w:p>
        </w:tc>
      </w:tr>
      <w:tr w14:paraId="28126C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FEB2296">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DAAFAB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成交通知书领取</w:t>
            </w:r>
          </w:p>
        </w:tc>
        <w:tc>
          <w:tcPr>
            <w:tcW w:w="6746" w:type="dxa"/>
            <w:vAlign w:val="center"/>
          </w:tcPr>
          <w:p w14:paraId="4D9D513B">
            <w:pPr>
              <w:tabs>
                <w:tab w:val="left" w:pos="7665"/>
              </w:tabs>
              <w:spacing w:line="360" w:lineRule="auto"/>
              <w:ind w:firstLine="240" w:firstLineChars="100"/>
              <w:rPr>
                <w:rFonts w:hint="eastAsia" w:ascii="仿宋" w:hAnsi="仿宋" w:eastAsia="仿宋" w:cs="仿宋"/>
                <w:sz w:val="24"/>
                <w:highlight w:val="none"/>
              </w:rPr>
            </w:pPr>
            <w:r>
              <w:rPr>
                <w:rFonts w:hint="eastAsia" w:ascii="仿宋" w:hAnsi="仿宋" w:eastAsia="仿宋" w:cs="仿宋"/>
                <w:sz w:val="24"/>
                <w:highlight w:val="none"/>
                <w:lang w:eastAsia="zh-CN"/>
              </w:rPr>
              <w:t>成交</w:t>
            </w:r>
            <w:r>
              <w:rPr>
                <w:rFonts w:hint="eastAsia" w:ascii="仿宋" w:hAnsi="仿宋" w:eastAsia="仿宋" w:cs="仿宋"/>
                <w:sz w:val="24"/>
                <w:highlight w:val="none"/>
              </w:rPr>
              <w:t>公告在</w:t>
            </w:r>
            <w:r>
              <w:rPr>
                <w:rFonts w:hint="eastAsia" w:ascii="仿宋" w:hAnsi="仿宋" w:eastAsia="仿宋" w:cs="仿宋"/>
                <w:sz w:val="24"/>
                <w:highlight w:val="none"/>
                <w:lang w:eastAsia="zh-CN"/>
              </w:rPr>
              <w:t>中国招标投标公共服务平台</w:t>
            </w:r>
            <w:r>
              <w:rPr>
                <w:rFonts w:hint="eastAsia" w:ascii="仿宋" w:hAnsi="仿宋" w:eastAsia="仿宋" w:cs="仿宋"/>
                <w:sz w:val="24"/>
                <w:highlight w:val="none"/>
              </w:rPr>
              <w:t>上公告后</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个工作日内，请</w:t>
            </w:r>
            <w:r>
              <w:rPr>
                <w:rFonts w:hint="eastAsia" w:ascii="仿宋" w:hAnsi="仿宋" w:eastAsia="仿宋" w:cs="仿宋"/>
                <w:sz w:val="24"/>
                <w:highlight w:val="none"/>
                <w:lang w:eastAsia="zh-CN"/>
              </w:rPr>
              <w:t>成交供应商</w:t>
            </w:r>
            <w:r>
              <w:rPr>
                <w:rFonts w:hint="eastAsia" w:ascii="仿宋" w:hAnsi="仿宋" w:eastAsia="仿宋" w:cs="仿宋"/>
                <w:sz w:val="24"/>
                <w:highlight w:val="none"/>
              </w:rPr>
              <w:t>办理代理服务费后凭有效身份证明（单位介绍信、经办人身份证复印件加盖单位公章）到</w:t>
            </w:r>
            <w:r>
              <w:rPr>
                <w:rFonts w:hint="eastAsia" w:ascii="仿宋" w:hAnsi="仿宋" w:eastAsia="仿宋" w:cs="仿宋"/>
                <w:bCs/>
                <w:sz w:val="24"/>
                <w:highlight w:val="none"/>
                <w:lang w:eastAsia="zh-CN"/>
              </w:rPr>
              <w:t>恒泰工程咨询集团有限公司</w:t>
            </w:r>
            <w:r>
              <w:rPr>
                <w:rFonts w:hint="eastAsia" w:ascii="仿宋" w:hAnsi="仿宋" w:eastAsia="仿宋" w:cs="仿宋"/>
                <w:sz w:val="24"/>
                <w:highlight w:val="none"/>
              </w:rPr>
              <w:t>领取</w:t>
            </w:r>
            <w:r>
              <w:rPr>
                <w:rFonts w:hint="eastAsia" w:ascii="仿宋" w:hAnsi="仿宋" w:eastAsia="仿宋" w:cs="仿宋"/>
                <w:sz w:val="24"/>
                <w:highlight w:val="none"/>
                <w:lang w:eastAsia="zh-CN"/>
              </w:rPr>
              <w:t>成交</w:t>
            </w:r>
            <w:r>
              <w:rPr>
                <w:rFonts w:hint="eastAsia" w:ascii="仿宋" w:hAnsi="仿宋" w:eastAsia="仿宋" w:cs="仿宋"/>
                <w:sz w:val="24"/>
                <w:highlight w:val="none"/>
              </w:rPr>
              <w:t>通知书。</w:t>
            </w:r>
          </w:p>
          <w:p w14:paraId="08DCCCA9">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w:t>
            </w:r>
            <w:r>
              <w:rPr>
                <w:rFonts w:hint="eastAsia" w:ascii="仿宋" w:hAnsi="仿宋" w:eastAsia="仿宋" w:cs="仿宋"/>
                <w:sz w:val="24"/>
                <w:highlight w:val="none"/>
                <w:lang w:val="en-US" w:eastAsia="zh-CN"/>
              </w:rPr>
              <w:t xml:space="preserve">王女士 </w:t>
            </w:r>
            <w:r>
              <w:rPr>
                <w:rFonts w:hint="eastAsia" w:ascii="仿宋" w:hAnsi="仿宋" w:eastAsia="仿宋" w:cs="仿宋"/>
                <w:sz w:val="24"/>
                <w:highlight w:val="none"/>
                <w:lang w:val="zh-CN"/>
              </w:rPr>
              <w:t>。</w:t>
            </w:r>
          </w:p>
          <w:p w14:paraId="5D77F926">
            <w:pPr>
              <w:tabs>
                <w:tab w:val="left" w:pos="7665"/>
              </w:tabs>
              <w:spacing w:line="400" w:lineRule="exact"/>
              <w:rPr>
                <w:rFonts w:hint="eastAsia" w:ascii="仿宋" w:hAnsi="仿宋" w:eastAsia="仿宋" w:cs="仿宋"/>
                <w:sz w:val="24"/>
                <w:szCs w:val="24"/>
                <w:highlight w:val="none"/>
              </w:rPr>
            </w:pPr>
            <w:r>
              <w:rPr>
                <w:rFonts w:hint="eastAsia" w:ascii="仿宋" w:hAnsi="仿宋" w:eastAsia="仿宋" w:cs="仿宋"/>
                <w:sz w:val="24"/>
                <w:highlight w:val="none"/>
                <w:lang w:val="zh-CN"/>
              </w:rPr>
              <w:t>联系电话：</w:t>
            </w:r>
            <w:r>
              <w:rPr>
                <w:rFonts w:hint="eastAsia" w:ascii="仿宋" w:hAnsi="仿宋" w:eastAsia="仿宋" w:cs="仿宋"/>
                <w:sz w:val="24"/>
                <w:szCs w:val="24"/>
                <w:highlight w:val="none"/>
                <w:lang w:eastAsia="zh-CN"/>
              </w:rPr>
              <w:t>19950260831</w:t>
            </w:r>
            <w:r>
              <w:rPr>
                <w:rFonts w:hint="eastAsia" w:ascii="仿宋" w:hAnsi="仿宋" w:eastAsia="仿宋" w:cs="仿宋"/>
                <w:sz w:val="24"/>
                <w:highlight w:val="none"/>
                <w:lang w:val="zh-CN"/>
              </w:rPr>
              <w:t>。</w:t>
            </w:r>
          </w:p>
          <w:p w14:paraId="7D9A931E">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sz w:val="22"/>
                <w:szCs w:val="22"/>
                <w:highlight w:val="none"/>
                <w:lang w:val="zh-CN" w:eastAsia="zh-CN"/>
              </w:rPr>
            </w:pPr>
            <w:r>
              <w:rPr>
                <w:rFonts w:hint="eastAsia" w:ascii="仿宋" w:hAnsi="仿宋" w:eastAsia="仿宋" w:cs="仿宋"/>
                <w:sz w:val="24"/>
                <w:szCs w:val="24"/>
                <w:highlight w:val="none"/>
              </w:rPr>
              <w:t>地址：成都市武侯区武侯大道顺江段77号汇点广场（吾悦广场）2座709号。</w:t>
            </w:r>
          </w:p>
        </w:tc>
      </w:tr>
      <w:tr w14:paraId="539BA94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FF7EB3A">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5FCBFB8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采购代理</w:t>
            </w:r>
            <w:r>
              <w:rPr>
                <w:rFonts w:hint="eastAsia" w:ascii="Times New Roman" w:hAnsi="Times New Roman" w:eastAsia="仿宋" w:cs="Times New Roman"/>
                <w:b w:val="0"/>
                <w:bCs w:val="0"/>
                <w:kern w:val="0"/>
                <w:sz w:val="22"/>
                <w:szCs w:val="22"/>
                <w:highlight w:val="none"/>
                <w:lang w:val="zh-CN" w:eastAsia="zh-CN" w:bidi="ar-SA"/>
              </w:rPr>
              <w:t>服务费</w:t>
            </w:r>
          </w:p>
          <w:p w14:paraId="1090EE8B">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vAlign w:val="center"/>
          </w:tcPr>
          <w:p w14:paraId="3B58DE1F">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本项目</w:t>
            </w:r>
            <w:r>
              <w:rPr>
                <w:rFonts w:hint="eastAsia" w:ascii="仿宋" w:hAnsi="仿宋" w:eastAsia="仿宋" w:cs="仿宋"/>
                <w:color w:val="000000" w:themeColor="text1"/>
                <w:sz w:val="22"/>
                <w:szCs w:val="22"/>
                <w:highlight w:val="none"/>
                <w:lang w:val="zh-CN" w:eastAsia="zh-CN"/>
                <w14:textFill>
                  <w14:solidFill>
                    <w14:schemeClr w14:val="tx1"/>
                  </w14:solidFill>
                </w14:textFill>
              </w:rPr>
              <w:t>参照《四川省政府采购营商环境指标提升专项行动工作方案》中“成本+合理利润”原则，本项目采购代理服务费共计</w:t>
            </w:r>
            <w:r>
              <w:rPr>
                <w:rFonts w:hint="eastAsia" w:ascii="仿宋" w:hAnsi="仿宋" w:eastAsia="仿宋" w:cs="仿宋"/>
                <w:color w:val="000000" w:themeColor="text1"/>
                <w:sz w:val="22"/>
                <w:szCs w:val="22"/>
                <w:highlight w:val="none"/>
                <w:lang w:val="en-US" w:eastAsia="zh-CN"/>
                <w14:textFill>
                  <w14:solidFill>
                    <w14:schemeClr w14:val="tx1"/>
                  </w14:solidFill>
                </w14:textFill>
              </w:rPr>
              <w:t>3000.00</w:t>
            </w:r>
            <w:r>
              <w:rPr>
                <w:rFonts w:hint="eastAsia" w:ascii="仿宋" w:hAnsi="仿宋" w:eastAsia="仿宋" w:cs="仿宋"/>
                <w:color w:val="000000" w:themeColor="text1"/>
                <w:sz w:val="22"/>
                <w:szCs w:val="22"/>
                <w:highlight w:val="none"/>
                <w:lang w:val="zh-CN" w:eastAsia="zh-CN"/>
                <w14:textFill>
                  <w14:solidFill>
                    <w14:schemeClr w14:val="tx1"/>
                  </w14:solidFill>
                </w14:textFill>
              </w:rPr>
              <w:t>元；</w:t>
            </w:r>
          </w:p>
          <w:p w14:paraId="730AAD49">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）由成交供应商在领取</w:t>
            </w:r>
            <w:r>
              <w:rPr>
                <w:rFonts w:hint="eastAsia" w:ascii="仿宋" w:hAnsi="仿宋" w:eastAsia="仿宋" w:cs="仿宋"/>
                <w:color w:val="000000" w:themeColor="text1"/>
                <w:sz w:val="22"/>
                <w:szCs w:val="22"/>
                <w:highlight w:val="none"/>
                <w:lang w:val="en-US" w:eastAsia="zh-CN"/>
                <w14:textFill>
                  <w14:solidFill>
                    <w14:schemeClr w14:val="tx1"/>
                  </w14:solidFill>
                </w14:textFill>
              </w:rPr>
              <w:t>成交</w:t>
            </w:r>
            <w:r>
              <w:rPr>
                <w:rFonts w:hint="eastAsia" w:ascii="仿宋" w:hAnsi="仿宋" w:eastAsia="仿宋" w:cs="仿宋"/>
                <w:color w:val="000000" w:themeColor="text1"/>
                <w:sz w:val="22"/>
                <w:szCs w:val="22"/>
                <w:highlight w:val="none"/>
                <w:lang w:val="zh-CN" w:eastAsia="zh-CN"/>
                <w14:textFill>
                  <w14:solidFill>
                    <w14:schemeClr w14:val="tx1"/>
                  </w14:solidFill>
                </w14:textFill>
              </w:rPr>
              <w:t>通知书前向采购代理机构</w:t>
            </w:r>
            <w:r>
              <w:rPr>
                <w:rFonts w:hint="eastAsia" w:ascii="仿宋" w:hAnsi="仿宋" w:eastAsia="仿宋" w:cs="仿宋"/>
                <w:color w:val="000000" w:themeColor="text1"/>
                <w:sz w:val="22"/>
                <w:szCs w:val="22"/>
                <w:highlight w:val="none"/>
                <w:lang w:val="en-US" w:eastAsia="zh-CN"/>
                <w14:textFill>
                  <w14:solidFill>
                    <w14:schemeClr w14:val="tx1"/>
                  </w14:solidFill>
                </w14:textFill>
              </w:rPr>
              <w:t>一次性</w:t>
            </w:r>
            <w:r>
              <w:rPr>
                <w:rFonts w:hint="eastAsia" w:ascii="仿宋" w:hAnsi="仿宋" w:eastAsia="仿宋" w:cs="仿宋"/>
                <w:color w:val="000000" w:themeColor="text1"/>
                <w:sz w:val="22"/>
                <w:szCs w:val="22"/>
                <w:highlight w:val="none"/>
                <w:lang w:val="zh-CN" w:eastAsia="zh-CN"/>
                <w14:textFill>
                  <w14:solidFill>
                    <w14:schemeClr w14:val="tx1"/>
                  </w14:solidFill>
                </w14:textFill>
              </w:rPr>
              <w:t>缴纳采购代理服务费；</w:t>
            </w:r>
          </w:p>
          <w:p w14:paraId="6BA0D09D">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收款单位：恒泰工程咨询集团有限公司；</w:t>
            </w:r>
          </w:p>
          <w:p w14:paraId="068304CA">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开 户 行：中国民生银行股份有限公司成都蜀汉支行；</w:t>
            </w:r>
          </w:p>
          <w:p w14:paraId="62F752B7">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银行账号：6387 97990</w:t>
            </w:r>
          </w:p>
        </w:tc>
      </w:tr>
      <w:tr w14:paraId="650E0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96E8812">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1EF033B7">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报价</w:t>
            </w:r>
            <w:r>
              <w:rPr>
                <w:rFonts w:hint="eastAsia" w:ascii="Times New Roman" w:hAnsi="Times New Roman" w:eastAsia="仿宋" w:cs="Times New Roman"/>
                <w:b w:val="0"/>
                <w:bCs w:val="0"/>
                <w:kern w:val="0"/>
                <w:sz w:val="22"/>
                <w:szCs w:val="22"/>
                <w:highlight w:val="none"/>
                <w:lang w:val="en-US" w:eastAsia="zh-CN" w:bidi="ar-SA"/>
              </w:rPr>
              <w:t>或</w:t>
            </w:r>
            <w:r>
              <w:rPr>
                <w:rFonts w:hint="eastAsia" w:ascii="Times New Roman" w:hAnsi="Times New Roman" w:eastAsia="仿宋" w:cs="Times New Roman"/>
                <w:b w:val="0"/>
                <w:bCs w:val="0"/>
                <w:kern w:val="0"/>
                <w:sz w:val="22"/>
                <w:szCs w:val="22"/>
                <w:highlight w:val="none"/>
                <w:lang w:val="zh-CN" w:eastAsia="zh-CN" w:bidi="ar-SA"/>
              </w:rPr>
              <w:t>分值</w:t>
            </w:r>
            <w:r>
              <w:rPr>
                <w:rFonts w:hint="eastAsia" w:ascii="Times New Roman" w:hAnsi="Times New Roman" w:eastAsia="仿宋" w:cs="Times New Roman"/>
                <w:b w:val="0"/>
                <w:bCs w:val="0"/>
                <w:kern w:val="0"/>
                <w:sz w:val="22"/>
                <w:szCs w:val="22"/>
                <w:highlight w:val="none"/>
                <w:lang w:val="en-US" w:eastAsia="zh-CN" w:bidi="ar-SA"/>
              </w:rPr>
              <w:t>的</w:t>
            </w:r>
            <w:r>
              <w:rPr>
                <w:rFonts w:hint="eastAsia" w:ascii="Times New Roman" w:hAnsi="Times New Roman" w:eastAsia="仿宋" w:cs="Times New Roman"/>
                <w:b w:val="0"/>
                <w:bCs w:val="0"/>
                <w:kern w:val="0"/>
                <w:sz w:val="22"/>
                <w:szCs w:val="22"/>
                <w:highlight w:val="none"/>
                <w:lang w:val="zh-CN" w:eastAsia="zh-CN" w:bidi="ar-SA"/>
              </w:rPr>
              <w:t>精确度</w:t>
            </w:r>
          </w:p>
        </w:tc>
        <w:tc>
          <w:tcPr>
            <w:tcW w:w="6746" w:type="dxa"/>
            <w:vAlign w:val="center"/>
          </w:tcPr>
          <w:p w14:paraId="23F965F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kern w:val="0"/>
                <w:sz w:val="22"/>
                <w:szCs w:val="22"/>
                <w:highlight w:val="none"/>
                <w:lang w:val="en-US" w:eastAsia="zh-CN" w:bidi="ar-SA"/>
              </w:rPr>
              <w:t>本项目所涉及的报价或分值的计算，保留小数点后两位</w:t>
            </w:r>
            <w:r>
              <w:rPr>
                <w:rFonts w:hint="eastAsia" w:ascii="Times New Roman" w:hAnsi="Times New Roman" w:eastAsia="仿宋" w:cs="Times New Roman"/>
                <w:kern w:val="0"/>
                <w:sz w:val="22"/>
                <w:szCs w:val="22"/>
                <w:highlight w:val="none"/>
                <w:lang w:val="zh-CN" w:eastAsia="zh-CN" w:bidi="ar-SA"/>
              </w:rPr>
              <w:t>，超出</w:t>
            </w:r>
            <w:r>
              <w:rPr>
                <w:rFonts w:hint="eastAsia" w:ascii="Times New Roman" w:hAnsi="Times New Roman" w:eastAsia="仿宋" w:cs="Times New Roman"/>
                <w:kern w:val="0"/>
                <w:sz w:val="22"/>
                <w:szCs w:val="22"/>
                <w:highlight w:val="none"/>
                <w:lang w:val="en-US" w:eastAsia="zh-CN" w:bidi="ar-SA"/>
              </w:rPr>
              <w:t>后两</w:t>
            </w:r>
            <w:r>
              <w:rPr>
                <w:rFonts w:hint="eastAsia" w:ascii="Times New Roman" w:hAnsi="Times New Roman" w:eastAsia="仿宋" w:cs="Times New Roman"/>
                <w:kern w:val="0"/>
                <w:sz w:val="22"/>
                <w:szCs w:val="22"/>
                <w:highlight w:val="none"/>
                <w:lang w:val="zh-CN" w:eastAsia="zh-CN" w:bidi="ar-SA"/>
              </w:rPr>
              <w:t>的数值</w:t>
            </w:r>
            <w:r>
              <w:rPr>
                <w:rFonts w:hint="eastAsia" w:ascii="Times New Roman" w:hAnsi="Times New Roman" w:eastAsia="仿宋" w:cs="Times New Roman"/>
                <w:kern w:val="0"/>
                <w:sz w:val="22"/>
                <w:szCs w:val="22"/>
                <w:highlight w:val="none"/>
                <w:lang w:val="en-US" w:eastAsia="zh-CN" w:bidi="ar-SA"/>
              </w:rPr>
              <w:t>均</w:t>
            </w:r>
            <w:r>
              <w:rPr>
                <w:rFonts w:hint="eastAsia" w:ascii="Times New Roman" w:hAnsi="Times New Roman" w:eastAsia="仿宋" w:cs="Times New Roman"/>
                <w:kern w:val="0"/>
                <w:sz w:val="22"/>
                <w:szCs w:val="22"/>
                <w:highlight w:val="none"/>
                <w:lang w:val="zh-CN" w:eastAsia="zh-CN" w:bidi="ar-SA"/>
              </w:rPr>
              <w:t>采用四舍五入的方式进行精确</w:t>
            </w:r>
          </w:p>
        </w:tc>
      </w:tr>
      <w:tr w14:paraId="4DC70D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3248108">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sz w:val="21"/>
                <w:szCs w:val="21"/>
                <w:highlight w:val="none"/>
                <w:lang w:val="en-US" w:eastAsia="zh-CN"/>
              </w:rPr>
            </w:pPr>
          </w:p>
        </w:tc>
        <w:tc>
          <w:tcPr>
            <w:tcW w:w="1661" w:type="dxa"/>
            <w:vAlign w:val="center"/>
          </w:tcPr>
          <w:p w14:paraId="73F3D75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说明</w:t>
            </w:r>
          </w:p>
        </w:tc>
        <w:tc>
          <w:tcPr>
            <w:tcW w:w="6746" w:type="dxa"/>
            <w:vAlign w:val="center"/>
          </w:tcPr>
          <w:p w14:paraId="5A38880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）本项目为非政府采购项目，磋商文件中所有涉及政府采购相关内容均为参照执行，最终解释权归采购人和采购代理机构所有</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p>
          <w:p w14:paraId="2F96ECC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）本“供应商须知附表”以外的其他内容是对供应商须知附表的具体补充，如有不一致，以“本供应商须知附表”为准</w:t>
            </w:r>
          </w:p>
        </w:tc>
      </w:tr>
    </w:tbl>
    <w:p w14:paraId="388B387D">
      <w:pP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br w:type="page"/>
      </w:r>
    </w:p>
    <w:p w14:paraId="68982579">
      <w:pPr>
        <w:spacing w:line="500" w:lineRule="exact"/>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二、总  则</w:t>
      </w:r>
    </w:p>
    <w:p w14:paraId="7DFC5BF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（一）适用范围</w:t>
      </w:r>
    </w:p>
    <w:p w14:paraId="28ADCD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文件仅适用于本次</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采购项目。</w:t>
      </w:r>
    </w:p>
    <w:p w14:paraId="45CA1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eastAsia="zh-CN"/>
        </w:rPr>
        <w:t>磋商</w:t>
      </w:r>
      <w:r>
        <w:rPr>
          <w:rFonts w:hint="eastAsia" w:ascii="Times New Roman" w:hAnsi="Times New Roman" w:eastAsia="仿宋" w:cs="Times New Roman"/>
          <w:sz w:val="24"/>
          <w:szCs w:val="24"/>
          <w:highlight w:val="none"/>
        </w:rPr>
        <w:t>文件的解释权归采购人和采购代理机构所有。</w:t>
      </w:r>
    </w:p>
    <w:p w14:paraId="54C599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（二）</w:t>
      </w:r>
      <w:r>
        <w:rPr>
          <w:rFonts w:hint="eastAsia" w:ascii="Times New Roman" w:hAnsi="Times New Roman" w:eastAsia="仿宋" w:cs="Times New Roman"/>
          <w:b/>
          <w:sz w:val="24"/>
          <w:szCs w:val="24"/>
          <w:highlight w:val="none"/>
        </w:rPr>
        <w:t>采购主体</w:t>
      </w:r>
    </w:p>
    <w:p w14:paraId="23F025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1.“采购人”系指成都市技师学院。</w:t>
      </w:r>
    </w:p>
    <w:p w14:paraId="306DDA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2.“采购代理机构”系指恒泰工程咨询集团有限公司。</w:t>
      </w:r>
    </w:p>
    <w:p w14:paraId="28298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3.“采购单位”系指“采购人”和“采购代理机构”的统称。</w:t>
      </w:r>
    </w:p>
    <w:p w14:paraId="0D4CD59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highlight w:val="none"/>
          <w:lang w:val="en-US"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三</w:t>
      </w: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有关定义</w:t>
      </w:r>
    </w:p>
    <w:p w14:paraId="225EB3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1.磋商文件所称的“以上”、“以下”、“以内”、“届满”，包括本数；所称的“不满”、“超过”、“以外”，不包括本数。</w:t>
      </w:r>
    </w:p>
    <w:p w14:paraId="75D22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2.磋商文件要求供应商提供原件资料的，文件均以“原件”字样作以标注；未作“原件”标注的，提供的资料可使用原件的复印件或影印件。</w:t>
      </w:r>
    </w:p>
    <w:p w14:paraId="130B4C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本磋商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36A33EE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四</w:t>
      </w:r>
      <w:r>
        <w:rPr>
          <w:rFonts w:ascii="Times New Roman" w:hAnsi="Times New Roman" w:eastAsia="仿宋" w:cs="Times New Roman"/>
          <w:b/>
          <w:sz w:val="24"/>
          <w:szCs w:val="24"/>
          <w:highlight w:val="none"/>
        </w:rPr>
        <w:t>）合格的</w:t>
      </w:r>
      <w:r>
        <w:rPr>
          <w:rFonts w:hint="eastAsia" w:ascii="Times New Roman" w:hAnsi="Times New Roman" w:eastAsia="仿宋" w:cs="Times New Roman"/>
          <w:b/>
          <w:sz w:val="24"/>
          <w:szCs w:val="24"/>
          <w:highlight w:val="none"/>
          <w:lang w:eastAsia="zh-CN"/>
        </w:rPr>
        <w:t>供应商（实质性要求）</w:t>
      </w:r>
    </w:p>
    <w:p w14:paraId="049FF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1.具备法律法规和本磋商文件规定的资格条件；</w:t>
      </w:r>
    </w:p>
    <w:p w14:paraId="4D3E0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2.不属于禁止参加本项目采购活动的供应商；</w:t>
      </w:r>
    </w:p>
    <w:p w14:paraId="04E2B0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eastAsia="zh-CN"/>
        </w:rPr>
      </w:pPr>
      <w:r>
        <w:rPr>
          <w:rFonts w:hint="eastAsia" w:ascii="Times New Roman" w:hAnsi="Times New Roman" w:eastAsia="仿宋" w:cs="Times New Roman"/>
          <w:sz w:val="24"/>
          <w:szCs w:val="24"/>
          <w:highlight w:val="none"/>
          <w:lang w:val="en-US" w:eastAsia="zh-CN"/>
        </w:rPr>
        <w:t>3.按照规定获取了磋商文件。</w:t>
      </w:r>
    </w:p>
    <w:p w14:paraId="323F2F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五</w:t>
      </w:r>
      <w:r>
        <w:rPr>
          <w:rFonts w:ascii="Times New Roman" w:hAnsi="Times New Roman" w:eastAsia="仿宋" w:cs="Times New Roman"/>
          <w:b/>
          <w:sz w:val="24"/>
          <w:szCs w:val="24"/>
          <w:highlight w:val="none"/>
        </w:rPr>
        <w:t>）参与</w:t>
      </w:r>
      <w:r>
        <w:rPr>
          <w:rFonts w:hint="eastAsia" w:ascii="Times New Roman" w:hAnsi="Times New Roman" w:eastAsia="仿宋" w:cs="Times New Roman"/>
          <w:b/>
          <w:sz w:val="24"/>
          <w:szCs w:val="24"/>
          <w:highlight w:val="none"/>
          <w:lang w:val="en-US" w:eastAsia="zh-CN"/>
        </w:rPr>
        <w:t>磋商</w:t>
      </w:r>
      <w:r>
        <w:rPr>
          <w:rFonts w:ascii="Times New Roman" w:hAnsi="Times New Roman" w:eastAsia="仿宋" w:cs="Times New Roman"/>
          <w:b/>
          <w:sz w:val="24"/>
          <w:szCs w:val="24"/>
          <w:highlight w:val="none"/>
        </w:rPr>
        <w:t>的费用</w:t>
      </w:r>
      <w:r>
        <w:rPr>
          <w:rFonts w:hint="eastAsia" w:ascii="Times New Roman" w:hAnsi="Times New Roman" w:eastAsia="仿宋" w:cs="Times New Roman"/>
          <w:b/>
          <w:sz w:val="24"/>
          <w:szCs w:val="24"/>
          <w:highlight w:val="none"/>
          <w:lang w:eastAsia="zh-CN"/>
        </w:rPr>
        <w:t>（实质性要求）</w:t>
      </w:r>
    </w:p>
    <w:p w14:paraId="4C15E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供应商应自行承担参加磋商活动的一切费用。</w:t>
      </w:r>
    </w:p>
    <w:p w14:paraId="50278C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w:t>
      </w:r>
      <w:r>
        <w:rPr>
          <w:rFonts w:hint="eastAsia" w:ascii="Times New Roman" w:hAnsi="Times New Roman" w:eastAsia="仿宋" w:cs="Times New Roman"/>
          <w:b/>
          <w:sz w:val="24"/>
          <w:szCs w:val="24"/>
          <w:highlight w:val="none"/>
          <w:lang w:val="en-US" w:eastAsia="zh-CN"/>
        </w:rPr>
        <w:t>六</w:t>
      </w:r>
      <w:r>
        <w:rPr>
          <w:rFonts w:ascii="Times New Roman" w:hAnsi="Times New Roman" w:eastAsia="仿宋" w:cs="Times New Roman"/>
          <w:b/>
          <w:sz w:val="24"/>
          <w:szCs w:val="24"/>
          <w:highlight w:val="none"/>
        </w:rPr>
        <w:t>）充分、公平竞争保障措施</w:t>
      </w:r>
      <w:r>
        <w:rPr>
          <w:rFonts w:hint="eastAsia" w:ascii="Times New Roman" w:hAnsi="Times New Roman" w:eastAsia="仿宋" w:cs="Times New Roman"/>
          <w:b/>
          <w:sz w:val="24"/>
          <w:szCs w:val="24"/>
          <w:highlight w:val="none"/>
        </w:rPr>
        <w:t>（实质性要求）</w:t>
      </w:r>
    </w:p>
    <w:p w14:paraId="2DE983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w:t>
      </w:r>
      <w:r>
        <w:rPr>
          <w:rFonts w:hint="eastAsia" w:ascii="Times New Roman" w:hAnsi="Times New Roman" w:eastAsia="仿宋" w:cs="Times New Roman"/>
          <w:b/>
          <w:bCs/>
          <w:sz w:val="24"/>
          <w:szCs w:val="24"/>
          <w:highlight w:val="none"/>
          <w:lang w:val="en-US" w:eastAsia="zh-CN"/>
        </w:rPr>
        <w:t>利害关系供应商处理。</w:t>
      </w:r>
      <w:r>
        <w:rPr>
          <w:rFonts w:hint="eastAsia" w:ascii="Times New Roman" w:hAnsi="Times New Roman" w:eastAsia="仿宋" w:cs="Times New Roman"/>
          <w:sz w:val="24"/>
          <w:szCs w:val="24"/>
          <w:highlight w:val="none"/>
          <w:lang w:val="en-US" w:eastAsia="zh-CN"/>
        </w:rPr>
        <w:t>单位负责人为同一人或者存在直接控股、管理关系的不同供应商不得参加同一合同项下的采购活动。</w:t>
      </w:r>
    </w:p>
    <w:p w14:paraId="142BFC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b/>
          <w:bCs/>
          <w:sz w:val="24"/>
          <w:szCs w:val="24"/>
          <w:highlight w:val="none"/>
          <w:lang w:val="en-US" w:eastAsia="zh-CN"/>
        </w:rPr>
        <w:t>利害关系授权代表处理。</w:t>
      </w:r>
      <w:r>
        <w:rPr>
          <w:rFonts w:hint="eastAsia" w:ascii="Times New Roman" w:hAnsi="Times New Roman" w:eastAsia="仿宋" w:cs="Times New Roman"/>
          <w:sz w:val="24"/>
          <w:szCs w:val="24"/>
          <w:highlight w:val="none"/>
          <w:lang w:val="en-US" w:eastAsia="zh-CN"/>
        </w:rPr>
        <w:t>两家以上的供应商不得在同一合同项下的采购项目中，委托同一个自然人、同一家庭的人员、同一单位的人员作为其授权代表，否则，其响应文件作为无效处理。</w:t>
      </w:r>
    </w:p>
    <w:p w14:paraId="0F7FAE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b/>
          <w:bCs/>
          <w:sz w:val="24"/>
          <w:szCs w:val="24"/>
          <w:highlight w:val="none"/>
          <w:lang w:val="en-US" w:eastAsia="zh-CN"/>
        </w:rPr>
        <w:t>前期参与供应商处理。</w:t>
      </w:r>
      <w:r>
        <w:rPr>
          <w:rFonts w:hint="eastAsia" w:ascii="Times New Roman" w:hAnsi="Times New Roman" w:eastAsia="仿宋" w:cs="Times New Roman"/>
          <w:sz w:val="24"/>
          <w:szCs w:val="24"/>
          <w:highlight w:val="none"/>
          <w:lang w:val="en-US" w:eastAsia="zh-CN"/>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80688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4.供应商实际控制人或者中高级管理人员，同时是采购代理机构工作人员，不得参与本项目采购活动。</w:t>
      </w:r>
    </w:p>
    <w:p w14:paraId="2BE505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5.同一母公司的两家以上的子公司只能组成联合体参加本项目同一合同项下的采购活动，不得以不同供应商身份同时参加本项目同一合同项下的采购活动。</w:t>
      </w:r>
    </w:p>
    <w:p w14:paraId="23AB0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6.供应商与采购代理机构存在关联关系，或者是采购代理机构的母公司或子公司，不得参加本项目采购活动。</w:t>
      </w:r>
    </w:p>
    <w:p w14:paraId="4B1061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7.回避。采购活动中，采购人员及相关人员与供应商有下列利害关系之一的，应当回避：</w:t>
      </w:r>
    </w:p>
    <w:p w14:paraId="0A3C42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（1）参加采购活动前3年内与供应商存在劳动关系；</w:t>
      </w:r>
    </w:p>
    <w:p w14:paraId="6CDE1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（2）参加采购活动前3年内担任供应商的董事、监事；</w:t>
      </w:r>
    </w:p>
    <w:p w14:paraId="006D98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（3）参加采购活动前3年内是供应商的控股股东或者实际控制人；</w:t>
      </w:r>
    </w:p>
    <w:p w14:paraId="2432E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（4）与供应商的法定代表人或者负责人有夫妻、直系血亲、三代以内旁系血亲或者近姻亲关系；</w:t>
      </w:r>
    </w:p>
    <w:p w14:paraId="116B9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（5）与供应商有其他可能影响采购活动公平、公正进行的关系。</w:t>
      </w:r>
    </w:p>
    <w:p w14:paraId="38437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本项目采购活动中需要依法回避的相关人员是指磋商小组成员。</w:t>
      </w:r>
    </w:p>
    <w:p w14:paraId="76D0D1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b/>
          <w:sz w:val="24"/>
          <w:highlight w:val="none"/>
        </w:rPr>
      </w:pPr>
      <w:r>
        <w:rPr>
          <w:rFonts w:hint="eastAsia" w:ascii="Times New Roman" w:hAnsi="Times New Roman" w:eastAsia="仿宋" w:cs="Times New Roman"/>
          <w:sz w:val="24"/>
          <w:szCs w:val="24"/>
          <w:highlight w:val="none"/>
          <w:lang w:val="en-US" w:eastAsia="zh-CN"/>
        </w:rPr>
        <w:t>供应商认为采购人员及相关人员与其他供应商有利害关系的，可以向采购代理机构书面提出回避申请，并说明理由。采购代理机构将及时询问被申请回避人员，有利害关系的被申请回避人员应当回避。</w:t>
      </w:r>
    </w:p>
    <w:p w14:paraId="66B36C87">
      <w:pPr>
        <w:pageBreakBefore w:val="0"/>
        <w:widowControl w:val="0"/>
        <w:kinsoku/>
        <w:wordWrap/>
        <w:overflowPunct/>
        <w:topLinePunct w:val="0"/>
        <w:autoSpaceDE/>
        <w:autoSpaceDN/>
        <w:bidi w:val="0"/>
        <w:snapToGrid/>
        <w:spacing w:line="360" w:lineRule="auto"/>
        <w:ind w:firstLine="482" w:firstLineChars="200"/>
        <w:outlineLvl w:val="2"/>
        <w:rPr>
          <w:rFonts w:eastAsia="仿宋"/>
          <w:b/>
          <w:sz w:val="24"/>
          <w:highlight w:val="none"/>
        </w:rPr>
      </w:pPr>
      <w:r>
        <w:rPr>
          <w:rFonts w:eastAsia="仿宋"/>
          <w:b/>
          <w:sz w:val="24"/>
          <w:highlight w:val="none"/>
        </w:rPr>
        <w:t>（</w:t>
      </w:r>
      <w:r>
        <w:rPr>
          <w:rFonts w:hint="eastAsia" w:eastAsia="仿宋"/>
          <w:b/>
          <w:sz w:val="24"/>
          <w:highlight w:val="none"/>
          <w:lang w:eastAsia="zh-CN"/>
        </w:rPr>
        <w:t>七</w:t>
      </w:r>
      <w:r>
        <w:rPr>
          <w:rFonts w:eastAsia="仿宋"/>
          <w:b/>
          <w:sz w:val="24"/>
          <w:highlight w:val="none"/>
        </w:rPr>
        <w:t>）联合体响应</w:t>
      </w:r>
      <w:r>
        <w:rPr>
          <w:rFonts w:hint="eastAsia" w:ascii="仿宋" w:hAnsi="仿宋" w:eastAsia="仿宋"/>
          <w:b/>
          <w:sz w:val="24"/>
          <w:highlight w:val="none"/>
        </w:rPr>
        <w:t>（实质性要求）</w:t>
      </w:r>
    </w:p>
    <w:p w14:paraId="7FDA32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1.本项目是否接受联合体响应，以“供应商须知附表”为准。</w:t>
      </w:r>
    </w:p>
    <w:p w14:paraId="70C8E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sz w:val="24"/>
          <w:highlight w:val="none"/>
        </w:rPr>
        <w:t>（</w:t>
      </w:r>
      <w:r>
        <w:rPr>
          <w:rFonts w:hint="eastAsia" w:eastAsia="仿宋"/>
          <w:b/>
          <w:sz w:val="24"/>
          <w:highlight w:val="none"/>
          <w:lang w:eastAsia="zh-CN"/>
        </w:rPr>
        <w:t>以下</w:t>
      </w:r>
      <w:r>
        <w:rPr>
          <w:rFonts w:hint="eastAsia" w:eastAsia="仿宋"/>
          <w:b/>
          <w:sz w:val="24"/>
          <w:highlight w:val="none"/>
          <w:lang w:val="en-US" w:eastAsia="zh-CN"/>
        </w:rPr>
        <w:t>仅适用</w:t>
      </w:r>
      <w:r>
        <w:rPr>
          <w:rFonts w:eastAsia="仿宋"/>
          <w:b/>
          <w:sz w:val="24"/>
          <w:highlight w:val="none"/>
        </w:rPr>
        <w:t>接受联合体响应</w:t>
      </w:r>
      <w:r>
        <w:rPr>
          <w:rFonts w:hint="eastAsia" w:eastAsia="仿宋"/>
          <w:b/>
          <w:sz w:val="24"/>
          <w:highlight w:val="none"/>
          <w:lang w:val="en-US" w:eastAsia="zh-CN"/>
        </w:rPr>
        <w:t>的情形</w:t>
      </w:r>
      <w:r>
        <w:rPr>
          <w:rFonts w:eastAsia="仿宋"/>
          <w:b/>
          <w:sz w:val="24"/>
          <w:highlight w:val="none"/>
        </w:rPr>
        <w:t>）</w:t>
      </w:r>
      <w:r>
        <w:rPr>
          <w:rFonts w:hint="eastAsia" w:ascii="Times New Roman" w:hAnsi="Times New Roman" w:eastAsia="仿宋" w:cs="Times New Roman"/>
          <w:sz w:val="24"/>
          <w:szCs w:val="24"/>
          <w:highlight w:val="none"/>
          <w:lang w:val="en-US" w:eastAsia="zh-CN"/>
        </w:rPr>
        <w:t>两个以上供应商可以组成一个联合体竞争性磋商，以一个供应商的身份竞争性磋商。以联合体形式参加竞争性磋商的，联合体各方均应当符合《中华人民共和国政府采购法》第二十二条规定的条件。</w:t>
      </w:r>
    </w:p>
    <w:p w14:paraId="2A3E97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3.联合体各方之间应当签订联合体竞争性磋商协议，明确约定联合体各方承担的工作和相应的责任。联合体参与竞争性磋商的，应在响应文件中提供联合体协议。</w:t>
      </w:r>
    </w:p>
    <w:p w14:paraId="2610C4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4.联合体应当确定其中一个单位为竞争性磋商的全权代表，负责参加竞争性磋商的一切事务。</w:t>
      </w:r>
    </w:p>
    <w:p w14:paraId="7290E5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5.联合体各方应当共同与采购人签订采购合同，就采购合同约定的事项对采购人承担连带责任。</w:t>
      </w:r>
    </w:p>
    <w:p w14:paraId="062F67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6.联合体中有同类资质的供应商按照联合体分工承担相同工作的，将按照资质等级较低的供应商确定资质等级。</w:t>
      </w:r>
    </w:p>
    <w:p w14:paraId="3D2603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rPr>
      </w:pPr>
      <w:r>
        <w:rPr>
          <w:rFonts w:hint="eastAsia" w:ascii="Times New Roman" w:hAnsi="Times New Roman" w:eastAsia="仿宋" w:cs="Times New Roman"/>
          <w:sz w:val="24"/>
          <w:szCs w:val="24"/>
          <w:highlight w:val="none"/>
          <w:lang w:val="en-US" w:eastAsia="zh-CN"/>
        </w:rPr>
        <w:t>7.以联合体形式参加采购活动的，联合体各方不得再单独参加或者与其他供应商另外组成联合体参加同一合同项下的采购活动。</w:t>
      </w:r>
    </w:p>
    <w:p w14:paraId="22476C76">
      <w:pPr>
        <w:pageBreakBefore w:val="0"/>
        <w:widowControl w:val="0"/>
        <w:kinsoku/>
        <w:wordWrap/>
        <w:overflowPunct/>
        <w:topLinePunct w:val="0"/>
        <w:autoSpaceDE/>
        <w:autoSpaceDN/>
        <w:bidi w:val="0"/>
        <w:snapToGrid/>
        <w:spacing w:line="360" w:lineRule="auto"/>
        <w:ind w:firstLine="482" w:firstLineChars="200"/>
        <w:outlineLvl w:val="2"/>
        <w:rPr>
          <w:rFonts w:hint="eastAsia" w:eastAsia="仿宋"/>
          <w:b/>
          <w:sz w:val="24"/>
          <w:highlight w:val="none"/>
          <w:lang w:val="en-US" w:eastAsia="zh-CN"/>
        </w:rPr>
      </w:pPr>
      <w:r>
        <w:rPr>
          <w:rFonts w:hint="eastAsia" w:eastAsia="仿宋"/>
          <w:b/>
          <w:sz w:val="24"/>
          <w:highlight w:val="none"/>
          <w:lang w:val="en-US" w:eastAsia="zh-CN"/>
        </w:rPr>
        <w:t>（八）磋商保证金</w:t>
      </w:r>
      <w:r>
        <w:rPr>
          <w:rFonts w:hint="eastAsia" w:eastAsia="仿宋"/>
          <w:b/>
          <w:sz w:val="24"/>
          <w:highlight w:val="none"/>
        </w:rPr>
        <w:t>（实质性要求）</w:t>
      </w:r>
    </w:p>
    <w:p w14:paraId="66FF74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1.本项目是否交纳磋商保证金，以“供应商须知附表”为准。</w:t>
      </w:r>
    </w:p>
    <w:p w14:paraId="67F55B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eastAsia="仿宋"/>
          <w:b/>
          <w:sz w:val="24"/>
          <w:highlight w:val="none"/>
          <w:lang w:val="en-US" w:eastAsia="zh-CN"/>
        </w:rPr>
        <w:t>（以下仅适用于交纳保证金的情形</w:t>
      </w:r>
      <w:r>
        <w:rPr>
          <w:rFonts w:hint="eastAsia" w:ascii="Times New Roman" w:hAnsi="Times New Roman" w:eastAsia="仿宋" w:cs="Times New Roman"/>
          <w:sz w:val="24"/>
          <w:szCs w:val="24"/>
          <w:highlight w:val="none"/>
          <w:lang w:val="en-US" w:eastAsia="zh-CN"/>
        </w:rPr>
        <w:t>）供应商应以人民币按磋商文件要求足额缴纳磋商保证金。联合体磋商的，可以由联合体的一方或者共同提交磋商保证金，以一方名义提交磋商保证金的，对联合体各方均具有约束力。</w:t>
      </w:r>
    </w:p>
    <w:p w14:paraId="5A518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3.未按磋商文件要求在规定时间前交纳规定数额磋商保证金的响应文件无效。</w:t>
      </w:r>
    </w:p>
    <w:p w14:paraId="61D22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4.供应商所交纳的磋商保证金不计利息。</w:t>
      </w:r>
    </w:p>
    <w:p w14:paraId="6BBE8F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5.发生下列情形之一的，采购代理机构将不予退还磋商保证金：</w:t>
      </w:r>
    </w:p>
    <w:p w14:paraId="2B08C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（1）在磋商文件规定的提交响应文件截止时间后撤回响应文件的；</w:t>
      </w:r>
    </w:p>
    <w:p w14:paraId="40B49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（2）在采购人确定成交供应商之前放弃成交候选资格的；</w:t>
      </w:r>
    </w:p>
    <w:p w14:paraId="2D7D2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（3）成交后放弃、不领取或者不接收成交通知书的；</w:t>
      </w:r>
    </w:p>
    <w:p w14:paraId="42353B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（4）由于成交供应商的原因未能按照磋商文件的规定与采购人签订合同的；</w:t>
      </w:r>
    </w:p>
    <w:p w14:paraId="59C370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（5）由于成交供应商的原因未能按照磋商文件的规定交纳履约保证金的；</w:t>
      </w:r>
    </w:p>
    <w:p w14:paraId="4CBFC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（6）供应商在采购活动中提供虚假材料的；</w:t>
      </w:r>
    </w:p>
    <w:p w14:paraId="34154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（7）报价有效期内，供应商在采购活动中有违法、违规、违纪行为。</w:t>
      </w:r>
    </w:p>
    <w:p w14:paraId="4703EF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（8）磋商文件规定的其他不予退还磋商保证金的情形。</w:t>
      </w:r>
    </w:p>
    <w:p w14:paraId="519322D1">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三、</w:t>
      </w:r>
      <w:r>
        <w:rPr>
          <w:rFonts w:hint="eastAsia" w:ascii="Times New Roman" w:hAnsi="Times New Roman" w:eastAsia="仿宋" w:cs="Times New Roman"/>
          <w:b/>
          <w:sz w:val="28"/>
          <w:szCs w:val="28"/>
          <w:highlight w:val="none"/>
          <w:lang w:eastAsia="zh-CN"/>
        </w:rPr>
        <w:t>磋商</w:t>
      </w:r>
      <w:r>
        <w:rPr>
          <w:rFonts w:ascii="Times New Roman" w:hAnsi="Times New Roman" w:eastAsia="仿宋" w:cs="Times New Roman"/>
          <w:b/>
          <w:sz w:val="28"/>
          <w:szCs w:val="28"/>
          <w:highlight w:val="none"/>
        </w:rPr>
        <w:t>文件</w:t>
      </w:r>
    </w:p>
    <w:p w14:paraId="57A9C4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（一）磋商文件的构成</w:t>
      </w:r>
    </w:p>
    <w:p w14:paraId="6B7BC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1.磋商文件是供应商准备响应文件和参加磋商的依据，同时也是磋商的重要依据。磋商文件用以阐明磋商项目所需的资质、技术、服务及报价等要求、磋商程序、有关规定和注意事项以及合同主要条款等。</w:t>
      </w:r>
    </w:p>
    <w:p w14:paraId="62AA6D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9" w:name="_Toc183582211"/>
      <w:bookmarkStart w:id="10" w:name="_Toc183682348"/>
      <w:bookmarkStart w:id="11" w:name="_Toc217446040"/>
    </w:p>
    <w:p w14:paraId="76E8D4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（二）磋商文件的澄清</w:t>
      </w:r>
      <w:bookmarkEnd w:id="9"/>
      <w:bookmarkEnd w:id="10"/>
      <w:r>
        <w:rPr>
          <w:rFonts w:hint="eastAsia" w:ascii="Times New Roman" w:hAnsi="Times New Roman" w:eastAsia="仿宋" w:cs="Times New Roman"/>
          <w:b/>
          <w:sz w:val="24"/>
          <w:szCs w:val="24"/>
          <w:highlight w:val="none"/>
          <w:lang w:val="en-US" w:eastAsia="zh-CN"/>
        </w:rPr>
        <w:t>和修改</w:t>
      </w:r>
      <w:bookmarkEnd w:id="11"/>
    </w:p>
    <w:p w14:paraId="7F4F59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bookmarkStart w:id="12" w:name="_Toc217446041"/>
      <w:bookmarkStart w:id="13" w:name="_Toc208848971"/>
      <w:r>
        <w:rPr>
          <w:rFonts w:hint="eastAsia" w:ascii="Times New Roman" w:hAnsi="Times New Roman" w:eastAsia="仿宋" w:cs="Times New Roman"/>
          <w:sz w:val="24"/>
          <w:szCs w:val="24"/>
          <w:highlight w:val="none"/>
          <w:lang w:val="en-US" w:eastAsia="zh-CN"/>
        </w:rPr>
        <w:t>1.在提交首次响应文件截止时间前，采购人、采购代理机构可以对磋商文件进行澄清或者修改。</w:t>
      </w:r>
    </w:p>
    <w:p w14:paraId="056C0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2.采购代理机构对已发出的磋商文件进行澄清或者修改，采购代理机构将在网上发布更正公告。</w:t>
      </w:r>
    </w:p>
    <w:p w14:paraId="263473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应于提交响应文件截止前，在网上关注本项目的更正公告，以保证其对磋商文件做出正确的响应。供应商未按要求下载相关文件，或由于未及时关注更正公告的信息造成的后果，其责任由供应商自行负责。</w:t>
      </w:r>
    </w:p>
    <w:p w14:paraId="35C7A22E">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sz w:val="24"/>
          <w:highlight w:val="none"/>
        </w:rPr>
      </w:pPr>
      <w:r>
        <w:rPr>
          <w:rFonts w:hint="eastAsia" w:ascii="Times New Roman" w:hAnsi="Times New Roman" w:eastAsia="仿宋" w:cs="Times New Roman"/>
          <w:b/>
          <w:sz w:val="24"/>
          <w:szCs w:val="24"/>
          <w:highlight w:val="none"/>
          <w:lang w:val="en-US" w:eastAsia="zh-CN"/>
        </w:rPr>
        <w:t>（</w:t>
      </w:r>
      <w:r>
        <w:rPr>
          <w:rFonts w:hint="eastAsia" w:eastAsia="仿宋" w:cs="Times New Roman"/>
          <w:b/>
          <w:sz w:val="24"/>
          <w:szCs w:val="24"/>
          <w:highlight w:val="none"/>
          <w:lang w:val="en-US" w:eastAsia="zh-CN"/>
        </w:rPr>
        <w:t>三</w:t>
      </w:r>
      <w:r>
        <w:rPr>
          <w:rFonts w:hint="eastAsia" w:ascii="Times New Roman" w:hAnsi="Times New Roman" w:eastAsia="仿宋" w:cs="Times New Roman"/>
          <w:b/>
          <w:sz w:val="24"/>
          <w:szCs w:val="24"/>
          <w:highlight w:val="none"/>
          <w:lang w:val="en-US" w:eastAsia="zh-CN"/>
        </w:rPr>
        <w:t>）</w:t>
      </w:r>
      <w:r>
        <w:rPr>
          <w:rFonts w:hint="eastAsia" w:ascii="仿宋" w:hAnsi="仿宋" w:eastAsia="仿宋"/>
          <w:sz w:val="24"/>
          <w:highlight w:val="none"/>
        </w:rPr>
        <w:t>答疑会和现场考察</w:t>
      </w:r>
      <w:bookmarkEnd w:id="12"/>
      <w:bookmarkEnd w:id="13"/>
    </w:p>
    <w:p w14:paraId="1AA191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1.本项目现场答疑考察与否，以“供应商须知附表”为准。</w:t>
      </w:r>
    </w:p>
    <w:p w14:paraId="6CDB6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现场答疑考察</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en-US" w:eastAsia="zh-CN"/>
        </w:rPr>
        <w:t>根据采购项目和具体情况，采购人、采购代理机构认为有必要，可以在磋商文件提供期限截止后首次响应文件提交截止前，组织已获取磋商文件的潜在供应商现场考察或者召开答疑会。</w:t>
      </w:r>
    </w:p>
    <w:p w14:paraId="0F04C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435D2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4.供应商考察现场或者参加答疑会所发生的一切费用由供应商自己承担。</w:t>
      </w:r>
    </w:p>
    <w:p w14:paraId="13309444">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四、响应</w:t>
      </w:r>
      <w:r>
        <w:rPr>
          <w:rFonts w:ascii="Times New Roman" w:hAnsi="Times New Roman" w:eastAsia="仿宋" w:cs="Times New Roman"/>
          <w:b/>
          <w:sz w:val="28"/>
          <w:szCs w:val="28"/>
          <w:highlight w:val="none"/>
        </w:rPr>
        <w:t>文件</w:t>
      </w:r>
    </w:p>
    <w:p w14:paraId="32222D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（一）</w:t>
      </w:r>
      <w:r>
        <w:rPr>
          <w:rFonts w:hint="eastAsia" w:ascii="Times New Roman" w:hAnsi="Times New Roman" w:eastAsia="仿宋" w:cs="Times New Roman"/>
          <w:b/>
          <w:sz w:val="24"/>
          <w:szCs w:val="24"/>
          <w:highlight w:val="none"/>
        </w:rPr>
        <w:t>响应文件的组成</w:t>
      </w:r>
    </w:p>
    <w:p w14:paraId="010F6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val="0"/>
          <w:sz w:val="24"/>
          <w:highlight w:val="none"/>
        </w:rPr>
      </w:pPr>
      <w:r>
        <w:rPr>
          <w:rFonts w:hint="eastAsia" w:ascii="Times New Roman" w:hAnsi="Times New Roman" w:eastAsia="仿宋" w:cs="Times New Roman"/>
          <w:sz w:val="24"/>
          <w:szCs w:val="24"/>
          <w:highlight w:val="none"/>
          <w:lang w:val="en-US" w:eastAsia="zh-CN"/>
        </w:rPr>
        <w:t>1.供应商编写的响应文件包括资格性响应文件和其他响应文件两部分，分册装订。</w:t>
      </w:r>
    </w:p>
    <w:p w14:paraId="50CD81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（二）</w:t>
      </w:r>
      <w:r>
        <w:rPr>
          <w:rFonts w:hint="eastAsia" w:ascii="Times New Roman" w:hAnsi="Times New Roman" w:eastAsia="仿宋" w:cs="Times New Roman"/>
          <w:b/>
          <w:sz w:val="24"/>
          <w:szCs w:val="24"/>
          <w:highlight w:val="none"/>
        </w:rPr>
        <w:t>响应文件的语言（实质性要求）</w:t>
      </w:r>
    </w:p>
    <w:p w14:paraId="745D06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提交的响应文件以及供应商与采购代理机构就有关报价的所有来往书面文件均应使用中文。响应文件中如附有外文资料，应当逐一对应翻译成中文并加盖供应商公章后附在相关外文资料后面，所提供的外文资料将被视为无效材料。</w:t>
      </w:r>
    </w:p>
    <w:p w14:paraId="49ABC1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2.翻译的中文资料与外文资料如果出现差异和矛盾时，以中文为准。涉嫌虚假响应的按照相关法律法规处理。</w:t>
      </w:r>
    </w:p>
    <w:p w14:paraId="48A347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3.如因未翻译而造成的响应文件无效风险，由供应商承担。</w:t>
      </w:r>
    </w:p>
    <w:p w14:paraId="6A7C7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4.响应文件对不同文字文本的解释发生异议的，以中文文本为准。</w:t>
      </w:r>
      <w:bookmarkStart w:id="14" w:name="_Toc183582216"/>
      <w:bookmarkStart w:id="15" w:name="_Toc183682353"/>
      <w:bookmarkStart w:id="16" w:name="_Toc217446044"/>
    </w:p>
    <w:p w14:paraId="56898AB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r>
        <w:rPr>
          <w:rFonts w:hint="eastAsia" w:ascii="Times New Roman" w:hAnsi="Times New Roman" w:eastAsia="仿宋" w:cs="Times New Roman"/>
          <w:b/>
          <w:sz w:val="24"/>
          <w:szCs w:val="24"/>
          <w:highlight w:val="none"/>
          <w:lang w:eastAsia="zh-CN"/>
        </w:rPr>
        <w:t>（三）</w:t>
      </w:r>
      <w:r>
        <w:rPr>
          <w:rFonts w:hint="eastAsia" w:ascii="Times New Roman" w:hAnsi="Times New Roman" w:eastAsia="仿宋" w:cs="Times New Roman"/>
          <w:b/>
          <w:sz w:val="24"/>
          <w:szCs w:val="24"/>
          <w:highlight w:val="none"/>
        </w:rPr>
        <w:t>计量单位</w:t>
      </w:r>
      <w:bookmarkEnd w:id="14"/>
      <w:bookmarkEnd w:id="15"/>
      <w:bookmarkEnd w:id="16"/>
      <w:r>
        <w:rPr>
          <w:rFonts w:hint="eastAsia" w:ascii="Times New Roman" w:hAnsi="Times New Roman" w:eastAsia="仿宋" w:cs="Times New Roman"/>
          <w:b/>
          <w:sz w:val="24"/>
          <w:szCs w:val="24"/>
          <w:highlight w:val="none"/>
        </w:rPr>
        <w:t>（实质性要求）</w:t>
      </w:r>
    </w:p>
    <w:p w14:paraId="0C3E5D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sz w:val="24"/>
          <w:highlight w:val="none"/>
        </w:rPr>
      </w:pPr>
      <w:r>
        <w:rPr>
          <w:rFonts w:hint="eastAsia" w:ascii="Times New Roman" w:hAnsi="Times New Roman" w:eastAsia="仿宋" w:cs="Times New Roman"/>
          <w:sz w:val="24"/>
          <w:szCs w:val="24"/>
          <w:highlight w:val="none"/>
          <w:lang w:val="en-US" w:eastAsia="zh-CN"/>
        </w:rPr>
        <w:t>除磋商文件中另有规定外，本次采购项目所有合同项下的报价均采用国家法定的计量单位。</w:t>
      </w:r>
      <w:bookmarkStart w:id="17" w:name="_Toc217446045"/>
    </w:p>
    <w:p w14:paraId="6B7CBD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四</w:t>
      </w:r>
      <w:r>
        <w:rPr>
          <w:rFonts w:hint="eastAsia" w:ascii="Times New Roman" w:hAnsi="Times New Roman" w:eastAsia="仿宋" w:cs="Times New Roman"/>
          <w:b/>
          <w:sz w:val="24"/>
          <w:szCs w:val="24"/>
          <w:highlight w:val="none"/>
          <w:lang w:eastAsia="zh-CN"/>
        </w:rPr>
        <w:t>）报价（实质性要求）</w:t>
      </w:r>
    </w:p>
    <w:p w14:paraId="0B368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1.本次磋商项目的报价货币为人民币，报价以磋商文件规定为准。</w:t>
      </w:r>
    </w:p>
    <w:p w14:paraId="69869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2.供应商的报价应是供应商响应采购项目要求的全部工作内容的价格体现，是最终用户验收合格后的总价，包含了供应商完成本项目所需的一切费用，即项目包干价。</w:t>
      </w:r>
    </w:p>
    <w:p w14:paraId="1DBD4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本项目采取多轮报价方式，以供应商最后一轮报价为其有效报价。供应商的各轮报价均不得高于本项目所设的最高限价。供应商未在首次响应文件中作出第一轮报价或供应商的任意一轮报价高于本项目所设最高限价的，其响应文件作无效处理。</w:t>
      </w:r>
    </w:p>
    <w:p w14:paraId="1DD89064">
      <w:pPr>
        <w:pageBreakBefore w:val="0"/>
        <w:widowControl w:val="0"/>
        <w:kinsoku/>
        <w:wordWrap/>
        <w:overflowPunct/>
        <w:topLinePunct w:val="0"/>
        <w:autoSpaceDE/>
        <w:autoSpaceDN/>
        <w:bidi w:val="0"/>
        <w:snapToGrid/>
        <w:spacing w:line="360" w:lineRule="auto"/>
        <w:ind w:firstLine="482" w:firstLineChars="200"/>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（五）响应文件有效期（实质性要求）</w:t>
      </w:r>
    </w:p>
    <w:p w14:paraId="76BB0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本项目响应文件有效期为提交磋商首次响应文件截止之日起</w:t>
      </w:r>
      <w:r>
        <w:rPr>
          <w:rFonts w:hint="eastAsia" w:ascii="Times New Roman" w:hAnsi="Times New Roman" w:eastAsia="仿宋" w:cs="Times New Roman"/>
          <w:b/>
          <w:bCs/>
          <w:sz w:val="24"/>
          <w:szCs w:val="24"/>
          <w:highlight w:val="none"/>
          <w:lang w:val="en-US" w:eastAsia="zh-CN"/>
        </w:rPr>
        <w:t>90</w:t>
      </w:r>
      <w:r>
        <w:rPr>
          <w:rFonts w:hint="eastAsia" w:ascii="Times New Roman" w:hAnsi="Times New Roman" w:eastAsia="仿宋" w:cs="Times New Roman"/>
          <w:sz w:val="24"/>
          <w:szCs w:val="24"/>
          <w:highlight w:val="none"/>
          <w:lang w:val="en-US" w:eastAsia="zh-CN"/>
        </w:rPr>
        <w:t>天。供应商响应文件中必须载明响应文件有效期，响应文件中载明的响应文件有效期可以长于磋商文件规定的期限，但不得短于磋商文件规定的期限。否则，其响应文件将作为无效响应处理。</w:t>
      </w:r>
    </w:p>
    <w:p w14:paraId="614D234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（六）知识产权（实质性要求）</w:t>
      </w:r>
    </w:p>
    <w:p w14:paraId="22805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437A6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2.除非磋商文件特别规定，采购人享有本项目实施过程中产生的知识成果及知识产权。</w:t>
      </w:r>
    </w:p>
    <w:p w14:paraId="11863F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69806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4.如采用供应商所不拥有的知识产权，则在报价中必须包括合法获取该知识产权的相关费用。</w:t>
      </w:r>
    </w:p>
    <w:bookmarkEnd w:id="17"/>
    <w:p w14:paraId="6EB95E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七</w:t>
      </w:r>
      <w:r>
        <w:rPr>
          <w:rFonts w:hint="eastAsia" w:ascii="Times New Roman" w:hAnsi="Times New Roman" w:eastAsia="仿宋" w:cs="Times New Roman"/>
          <w:b/>
          <w:sz w:val="24"/>
          <w:szCs w:val="24"/>
          <w:highlight w:val="none"/>
          <w:lang w:eastAsia="zh-CN"/>
        </w:rPr>
        <w:t>）响应文件格式</w:t>
      </w:r>
    </w:p>
    <w:p w14:paraId="5F3022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kern w:val="2"/>
          <w:sz w:val="24"/>
          <w:szCs w:val="24"/>
          <w:highlight w:val="none"/>
          <w:lang w:val="en-US" w:eastAsia="zh-CN" w:bidi="ar-SA"/>
        </w:rPr>
      </w:pPr>
      <w:bookmarkStart w:id="18" w:name="_Toc217446053"/>
      <w:bookmarkStart w:id="19" w:name="_Toc89075877"/>
      <w:bookmarkStart w:id="20" w:name="_Toc183582226"/>
      <w:bookmarkStart w:id="21" w:name="_Toc77400781"/>
      <w:bookmarkStart w:id="22" w:name="_Toc183682363"/>
      <w:r>
        <w:rPr>
          <w:rFonts w:hint="eastAsia" w:ascii="Times New Roman" w:hAnsi="Times New Roman" w:eastAsia="仿宋" w:cs="Times New Roman"/>
          <w:sz w:val="24"/>
          <w:szCs w:val="24"/>
          <w:highlight w:val="none"/>
          <w:lang w:val="en-US" w:eastAsia="zh-CN"/>
        </w:rPr>
        <w:t>供应商可参照磋商文件的提供的格式，进行编制响应文件。</w:t>
      </w:r>
    </w:p>
    <w:p w14:paraId="26E78C17">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sz w:val="24"/>
          <w:highlight w:val="none"/>
          <w:lang w:eastAsia="zh-CN"/>
        </w:rPr>
      </w:pPr>
      <w:r>
        <w:rPr>
          <w:rFonts w:hint="eastAsia" w:ascii="Times New Roman" w:hAnsi="Times New Roman" w:eastAsia="仿宋" w:cs="Times New Roman"/>
          <w:b/>
          <w:bCs w:val="0"/>
          <w:kern w:val="2"/>
          <w:sz w:val="24"/>
          <w:szCs w:val="24"/>
          <w:highlight w:val="none"/>
          <w:lang w:val="en-US" w:eastAsia="zh-CN" w:bidi="ar-SA"/>
        </w:rPr>
        <w:t>（</w:t>
      </w:r>
      <w:r>
        <w:rPr>
          <w:rFonts w:hint="eastAsia" w:eastAsia="仿宋" w:cs="Times New Roman"/>
          <w:b/>
          <w:bCs w:val="0"/>
          <w:kern w:val="2"/>
          <w:sz w:val="24"/>
          <w:szCs w:val="24"/>
          <w:highlight w:val="none"/>
          <w:lang w:val="en-US" w:eastAsia="zh-CN" w:bidi="ar-SA"/>
        </w:rPr>
        <w:t>八</w:t>
      </w:r>
      <w:r>
        <w:rPr>
          <w:rFonts w:hint="eastAsia" w:ascii="Times New Roman" w:hAnsi="Times New Roman" w:eastAsia="仿宋" w:cs="Times New Roman"/>
          <w:b/>
          <w:bCs w:val="0"/>
          <w:kern w:val="2"/>
          <w:sz w:val="24"/>
          <w:szCs w:val="24"/>
          <w:highlight w:val="none"/>
          <w:lang w:val="en-US" w:eastAsia="zh-CN" w:bidi="ar-SA"/>
        </w:rPr>
        <w:t>）响应文件的编制和签署</w:t>
      </w:r>
    </w:p>
    <w:p w14:paraId="48F83F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1.响应文件的份数，以“供应商须知附表”为准。</w:t>
      </w:r>
      <w:r>
        <w:rPr>
          <w:rFonts w:hint="eastAsia" w:ascii="仿宋" w:hAnsi="仿宋" w:eastAsia="仿宋" w:cs="Times New Roman"/>
          <w:b/>
          <w:bCs/>
          <w:kern w:val="2"/>
          <w:sz w:val="24"/>
          <w:szCs w:val="32"/>
          <w:highlight w:val="none"/>
          <w:lang w:val="en-US" w:eastAsia="zh-CN" w:bidi="ar-SA"/>
        </w:rPr>
        <w:t>（实质性要求）</w:t>
      </w:r>
    </w:p>
    <w:p w14:paraId="7F77B6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2.若正本和副本有不一致的内容，以正本书面响应文件为准。</w:t>
      </w:r>
      <w:r>
        <w:rPr>
          <w:rFonts w:hint="eastAsia" w:ascii="仿宋" w:hAnsi="仿宋" w:eastAsia="仿宋" w:cs="Times New Roman"/>
          <w:b/>
          <w:bCs/>
          <w:kern w:val="2"/>
          <w:sz w:val="24"/>
          <w:szCs w:val="32"/>
          <w:highlight w:val="none"/>
          <w:lang w:val="en-US" w:eastAsia="zh-CN" w:bidi="ar-SA"/>
        </w:rPr>
        <w:t>（实质性要求）</w:t>
      </w:r>
    </w:p>
    <w:p w14:paraId="4B0DC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3.响应文件密封袋的最外层可以注明采购项目名称、采购项目编号、采购包号及名称（若有）、供应商名称、“正本”或“副本”字样。</w:t>
      </w:r>
    </w:p>
    <w:p w14:paraId="78704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4.响应文件应根据磋商文件的要求签署、盖章。</w:t>
      </w:r>
      <w:r>
        <w:rPr>
          <w:rFonts w:hint="eastAsia" w:ascii="仿宋" w:hAnsi="仿宋" w:eastAsia="仿宋" w:cs="Times New Roman"/>
          <w:b/>
          <w:bCs/>
          <w:kern w:val="2"/>
          <w:sz w:val="24"/>
          <w:szCs w:val="32"/>
          <w:highlight w:val="none"/>
          <w:lang w:val="en-US" w:eastAsia="zh-CN" w:bidi="ar-SA"/>
        </w:rPr>
        <w:t>（实质性要求）</w:t>
      </w:r>
    </w:p>
    <w:p w14:paraId="69AA7D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5.响应文件正本和副本可采用打印或用不褪色、不变质的墨水书写，响应文件副本可采用正本的复印件。</w:t>
      </w:r>
    </w:p>
    <w:p w14:paraId="3470B9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6.响应文件若涉及，行间插字、涂改或增删，应由供应商的法定代表人/单位负责人或其授权代表签字并盖供应商公章。</w:t>
      </w:r>
      <w:r>
        <w:rPr>
          <w:rFonts w:hint="eastAsia" w:ascii="Times New Roman" w:hAnsi="Times New Roman" w:eastAsia="仿宋" w:cs="Times New Roman"/>
          <w:b/>
          <w:bCs/>
          <w:sz w:val="24"/>
          <w:szCs w:val="24"/>
          <w:highlight w:val="none"/>
          <w:lang w:val="en-US" w:eastAsia="zh-CN"/>
        </w:rPr>
        <w:t>（实质性要求）</w:t>
      </w:r>
    </w:p>
    <w:p w14:paraId="4557E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sz w:val="24"/>
          <w:szCs w:val="24"/>
          <w:highlight w:val="none"/>
          <w:lang w:val="en-US" w:eastAsia="zh-CN"/>
        </w:rPr>
        <w:t>7.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sz w:val="24"/>
          <w:szCs w:val="24"/>
          <w:highlight w:val="none"/>
          <w:lang w:val="en-US" w:eastAsia="zh-CN"/>
        </w:rPr>
        <w:t>（实质性要求）</w:t>
      </w:r>
    </w:p>
    <w:p w14:paraId="1C9265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sz w:val="24"/>
          <w:highlight w:val="none"/>
        </w:rPr>
      </w:pPr>
      <w:r>
        <w:rPr>
          <w:rFonts w:hint="eastAsia" w:ascii="Times New Roman" w:hAnsi="Times New Roman" w:eastAsia="仿宋" w:cs="Times New Roman"/>
          <w:sz w:val="24"/>
          <w:szCs w:val="24"/>
          <w:highlight w:val="none"/>
          <w:lang w:val="en-US" w:eastAsia="zh-CN"/>
        </w:rPr>
        <w:t>8.响应文件正本和副本可以采用A4幅面纸胶装方式装订成册并逐页编码。</w:t>
      </w:r>
    </w:p>
    <w:p w14:paraId="1F230B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九</w:t>
      </w:r>
      <w:r>
        <w:rPr>
          <w:rFonts w:hint="eastAsia" w:ascii="Times New Roman" w:hAnsi="Times New Roman" w:eastAsia="仿宋" w:cs="Times New Roman"/>
          <w:b/>
          <w:sz w:val="24"/>
          <w:szCs w:val="24"/>
          <w:highlight w:val="none"/>
          <w:lang w:eastAsia="zh-CN"/>
        </w:rPr>
        <w:t>）响应文件的密封</w:t>
      </w:r>
    </w:p>
    <w:p w14:paraId="237B7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1.响应文件正本和副本可以单独密封包装，也可以所有响应文件密封包装在一个密封袋内。</w:t>
      </w:r>
    </w:p>
    <w:p w14:paraId="36D5A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2.响应文件所有外层应当密封完好。</w:t>
      </w:r>
      <w:r>
        <w:rPr>
          <w:rFonts w:hint="eastAsia" w:ascii="Times New Roman" w:hAnsi="Times New Roman" w:eastAsia="仿宋" w:cs="Times New Roman"/>
          <w:b/>
          <w:sz w:val="24"/>
          <w:szCs w:val="24"/>
          <w:highlight w:val="none"/>
          <w:lang w:eastAsia="zh-CN"/>
        </w:rPr>
        <w:t>（实质性要求）</w:t>
      </w:r>
    </w:p>
    <w:p w14:paraId="7B699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3.未密封的响应文件，采购人、采购代理机构将拒收或者在法定时间允许的范围内，要求修改完善后接收。</w:t>
      </w:r>
      <w:r>
        <w:rPr>
          <w:rFonts w:hint="eastAsia" w:ascii="Times New Roman" w:hAnsi="Times New Roman" w:eastAsia="仿宋" w:cs="Times New Roman"/>
          <w:b/>
          <w:sz w:val="24"/>
          <w:szCs w:val="24"/>
          <w:highlight w:val="none"/>
          <w:lang w:eastAsia="zh-CN"/>
        </w:rPr>
        <w:t>（实质性要求）</w:t>
      </w:r>
    </w:p>
    <w:p w14:paraId="159C69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eastAsia="zh-CN"/>
        </w:rPr>
      </w:pP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w:t>
      </w:r>
      <w:r>
        <w:rPr>
          <w:rFonts w:hint="eastAsia" w:ascii="Times New Roman" w:hAnsi="Times New Roman" w:eastAsia="仿宋" w:cs="Times New Roman"/>
          <w:b/>
          <w:sz w:val="24"/>
          <w:szCs w:val="24"/>
          <w:highlight w:val="none"/>
          <w:lang w:eastAsia="zh-CN"/>
        </w:rPr>
        <w:t>）响应文件的提交</w:t>
      </w:r>
    </w:p>
    <w:p w14:paraId="32DF9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1.响应文件</w:t>
      </w:r>
      <w:r>
        <w:rPr>
          <w:rFonts w:hint="eastAsia" w:ascii="Times New Roman" w:hAnsi="Times New Roman" w:eastAsia="仿宋" w:cs="Times New Roman"/>
          <w:sz w:val="24"/>
          <w:szCs w:val="24"/>
          <w:highlight w:val="none"/>
        </w:rPr>
        <w:t>应在</w:t>
      </w:r>
      <w:r>
        <w:rPr>
          <w:rFonts w:hint="eastAsia" w:ascii="Times New Roman" w:hAnsi="Times New Roman" w:eastAsia="仿宋" w:cs="Times New Roman"/>
          <w:sz w:val="24"/>
          <w:szCs w:val="24"/>
          <w:highlight w:val="none"/>
          <w:lang w:eastAsia="zh-CN"/>
        </w:rPr>
        <w:t>提交</w:t>
      </w:r>
      <w:r>
        <w:rPr>
          <w:rFonts w:hint="eastAsia" w:ascii="Times New Roman" w:hAnsi="Times New Roman" w:eastAsia="仿宋" w:cs="Times New Roman"/>
          <w:sz w:val="24"/>
          <w:szCs w:val="24"/>
          <w:highlight w:val="none"/>
        </w:rPr>
        <w:t>首次响应文件截止时间前送达。</w:t>
      </w:r>
      <w:r>
        <w:rPr>
          <w:rFonts w:hint="eastAsia" w:ascii="Times New Roman" w:hAnsi="Times New Roman" w:eastAsia="仿宋" w:cs="Times New Roman"/>
          <w:b/>
          <w:sz w:val="24"/>
          <w:szCs w:val="24"/>
          <w:highlight w:val="none"/>
          <w:lang w:eastAsia="zh-CN"/>
        </w:rPr>
        <w:t>（实质性要求）</w:t>
      </w:r>
    </w:p>
    <w:p w14:paraId="4B179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2.逾期送达或者未密封的响应文件，采购代理机构应当拒收。</w:t>
      </w:r>
      <w:r>
        <w:rPr>
          <w:rFonts w:hint="eastAsia" w:ascii="Times New Roman" w:hAnsi="Times New Roman" w:eastAsia="仿宋" w:cs="Times New Roman"/>
          <w:b/>
          <w:sz w:val="24"/>
          <w:szCs w:val="24"/>
          <w:highlight w:val="none"/>
          <w:lang w:eastAsia="zh-CN"/>
        </w:rPr>
        <w:t>（实质性要求）</w:t>
      </w:r>
    </w:p>
    <w:p w14:paraId="76E81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3.最后报价表在磋商后，磋商小组要求供应商进行报价时提交。</w:t>
      </w:r>
    </w:p>
    <w:bookmarkEnd w:id="18"/>
    <w:bookmarkEnd w:id="19"/>
    <w:bookmarkEnd w:id="20"/>
    <w:bookmarkEnd w:id="21"/>
    <w:bookmarkEnd w:id="22"/>
    <w:p w14:paraId="05612B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sz w:val="24"/>
          <w:szCs w:val="24"/>
          <w:highlight w:val="none"/>
        </w:rPr>
      </w:pPr>
      <w:bookmarkStart w:id="23" w:name="_Toc183582228"/>
      <w:bookmarkStart w:id="24" w:name="_Toc217446055"/>
      <w:bookmarkStart w:id="25" w:name="_Toc183682365"/>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lang w:val="en-US" w:eastAsia="zh-CN"/>
        </w:rPr>
        <w:t>十一</w:t>
      </w:r>
      <w:r>
        <w:rPr>
          <w:rFonts w:hint="eastAsia" w:ascii="Times New Roman" w:hAnsi="Times New Roman" w:eastAsia="仿宋" w:cs="Times New Roman"/>
          <w:b/>
          <w:sz w:val="24"/>
          <w:szCs w:val="24"/>
          <w:highlight w:val="none"/>
          <w:lang w:eastAsia="zh-CN"/>
        </w:rPr>
        <w:t>）</w:t>
      </w:r>
      <w:r>
        <w:rPr>
          <w:rFonts w:hint="eastAsia" w:ascii="Times New Roman" w:hAnsi="Times New Roman" w:eastAsia="仿宋" w:cs="Times New Roman"/>
          <w:b/>
          <w:sz w:val="24"/>
          <w:szCs w:val="24"/>
          <w:highlight w:val="none"/>
        </w:rPr>
        <w:t>响应文件的修改和撤回</w:t>
      </w:r>
    </w:p>
    <w:p w14:paraId="70D994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478786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2.供应商对响应文件修改的书面材料或撤回的通知应该按规定进行编写、密封、标注和递送，并注明“修改响应文件”字样。</w:t>
      </w:r>
    </w:p>
    <w:p w14:paraId="26891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3.供应商不得在提交截止时间起至响应文件有效期期满前撤回其响应文件。否则其磋商保证金将按相关规定不予退还。</w:t>
      </w:r>
    </w:p>
    <w:p w14:paraId="5900F8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en-US" w:eastAsia="zh-CN"/>
        </w:rPr>
      </w:pPr>
      <w:r>
        <w:rPr>
          <w:rFonts w:hint="eastAsia" w:ascii="Times New Roman" w:hAnsi="Times New Roman" w:eastAsia="仿宋" w:cs="Times New Roman"/>
          <w:sz w:val="24"/>
          <w:szCs w:val="24"/>
          <w:highlight w:val="none"/>
          <w:lang w:val="en-US" w:eastAsia="zh-CN"/>
        </w:rPr>
        <w:t>4.供应商对其提交的响应文件的真实性、合法性承担法律责任。</w:t>
      </w:r>
      <w:bookmarkEnd w:id="23"/>
      <w:bookmarkEnd w:id="24"/>
      <w:bookmarkEnd w:id="25"/>
    </w:p>
    <w:p w14:paraId="7055F6FD">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五、评审</w:t>
      </w:r>
    </w:p>
    <w:p w14:paraId="6C4BB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详见第七章</w:t>
      </w:r>
    </w:p>
    <w:p w14:paraId="3978C57B">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六、成交事项</w:t>
      </w:r>
    </w:p>
    <w:p w14:paraId="31D3F8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（一）成交结果</w:t>
      </w:r>
    </w:p>
    <w:p w14:paraId="33A4A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详见第七章。</w:t>
      </w:r>
    </w:p>
    <w:p w14:paraId="2A303A9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（二）成交通知书</w:t>
      </w:r>
    </w:p>
    <w:p w14:paraId="6F868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1.成交通知书为签订采购合同的依据之一，是合同的有效组成部分。</w:t>
      </w:r>
    </w:p>
    <w:p w14:paraId="6CD53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2成交通知书对采购人和成交供应商均具有法律效力。成交通知书发出后，采购人无正当理由改变成交结果，或者成交供应商无正当理由放弃成交的，将承担相应的法律责任。</w:t>
      </w:r>
    </w:p>
    <w:p w14:paraId="139196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3.成交供应商的响应文件作为无效响应文件处理或者其他规定的成交无效情形的，采购人或采购代理机构在取得有权主体的认定以后，有权宣布发出的成交通知书无效，并收回发出的成交通知书，依法重新确定成交供应商或者重新开展采购活动。</w:t>
      </w:r>
    </w:p>
    <w:p w14:paraId="2D76195A">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七、合同事项</w:t>
      </w:r>
    </w:p>
    <w:p w14:paraId="49A53F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bookmarkStart w:id="26" w:name="_Toc101250646"/>
      <w:bookmarkStart w:id="27" w:name="_Toc430773927"/>
      <w:bookmarkStart w:id="28" w:name="_Toc101338364"/>
      <w:bookmarkStart w:id="29" w:name="_Toc209847069"/>
      <w:bookmarkStart w:id="30" w:name="_Toc101174151"/>
      <w:r>
        <w:rPr>
          <w:rFonts w:hint="eastAsia" w:ascii="Times New Roman" w:hAnsi="Times New Roman" w:eastAsia="仿宋" w:cs="Times New Roman"/>
          <w:b/>
          <w:sz w:val="24"/>
          <w:szCs w:val="24"/>
          <w:highlight w:val="none"/>
          <w:lang w:val="en-US" w:eastAsia="zh-CN"/>
        </w:rPr>
        <w:t>（一）签订合同</w:t>
      </w:r>
      <w:bookmarkEnd w:id="26"/>
      <w:bookmarkEnd w:id="27"/>
      <w:bookmarkEnd w:id="28"/>
      <w:bookmarkEnd w:id="29"/>
      <w:bookmarkEnd w:id="30"/>
    </w:p>
    <w:p w14:paraId="52818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1.成交供应商应在成交通知书发出之日起30日内与采购人签订采购合同。由于成交供应商的原因逾期未与采购人签订采购合同的，将视为放弃成交，取消其成交资格并将按相关规定进行处理。</w:t>
      </w:r>
    </w:p>
    <w:p w14:paraId="2F705C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2.磋商文件、成交供应商的响应文件及双方确认的澄清文件等，均为有法律约束力的经济合同的组成部分。</w:t>
      </w:r>
    </w:p>
    <w:p w14:paraId="728CD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0A1CFF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4.成交供应商因不可抗力原因不能履行采购合同或放弃成交的，采购人可以与排在成交供应商之后第一位的成交候选人签订采购合同，以此类推。</w:t>
      </w:r>
    </w:p>
    <w:p w14:paraId="186BC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5.竞争性磋商文件、成交供应商提交的响应文件、磋商中的最后报价、成交供应商承诺书、成交通知书等均称为有法律约束力的合同组成内容。</w:t>
      </w:r>
    </w:p>
    <w:p w14:paraId="3125715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（二）合同分包（实质性要求）</w:t>
      </w:r>
    </w:p>
    <w:p w14:paraId="0586A4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1.本项目是否接受合同分包，以“供应商须知附表”为准。</w:t>
      </w:r>
    </w:p>
    <w:p w14:paraId="10D0FD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en-US" w:eastAsia="zh-CN"/>
        </w:rPr>
        <w:t>2.</w:t>
      </w:r>
      <w:r>
        <w:rPr>
          <w:rFonts w:eastAsia="仿宋"/>
          <w:b/>
          <w:bCs w:val="0"/>
          <w:sz w:val="24"/>
          <w:highlight w:val="none"/>
        </w:rPr>
        <w:t>（</w:t>
      </w:r>
      <w:r>
        <w:rPr>
          <w:rFonts w:hint="eastAsia" w:eastAsia="仿宋"/>
          <w:b/>
          <w:bCs w:val="0"/>
          <w:sz w:val="24"/>
          <w:highlight w:val="none"/>
          <w:lang w:eastAsia="zh-CN"/>
        </w:rPr>
        <w:t>以下</w:t>
      </w:r>
      <w:r>
        <w:rPr>
          <w:rFonts w:hint="eastAsia" w:eastAsia="仿宋"/>
          <w:b/>
          <w:bCs w:val="0"/>
          <w:sz w:val="24"/>
          <w:highlight w:val="none"/>
          <w:lang w:val="en-US" w:eastAsia="zh-CN"/>
        </w:rPr>
        <w:t>仅适用</w:t>
      </w:r>
      <w:r>
        <w:rPr>
          <w:rFonts w:hint="eastAsia" w:eastAsia="仿宋"/>
          <w:b/>
          <w:bCs w:val="0"/>
          <w:sz w:val="24"/>
          <w:highlight w:val="none"/>
          <w:lang w:eastAsia="zh-CN"/>
        </w:rPr>
        <w:t>接受</w:t>
      </w:r>
      <w:r>
        <w:rPr>
          <w:rFonts w:hint="eastAsia" w:ascii="Times New Roman" w:hAnsi="Times New Roman" w:eastAsia="仿宋" w:cs="Times New Roman"/>
          <w:b/>
          <w:bCs w:val="0"/>
          <w:sz w:val="24"/>
          <w:szCs w:val="24"/>
          <w:highlight w:val="none"/>
          <w:lang w:val="en-US" w:eastAsia="zh-CN"/>
        </w:rPr>
        <w:t>合同分包</w:t>
      </w:r>
      <w:r>
        <w:rPr>
          <w:rFonts w:hint="eastAsia" w:eastAsia="仿宋"/>
          <w:b/>
          <w:bCs w:val="0"/>
          <w:sz w:val="24"/>
          <w:highlight w:val="none"/>
          <w:lang w:val="en-US" w:eastAsia="zh-CN"/>
        </w:rPr>
        <w:t>的情形</w:t>
      </w:r>
      <w:r>
        <w:rPr>
          <w:rFonts w:eastAsia="仿宋"/>
          <w:b/>
          <w:bCs w:val="0"/>
          <w:sz w:val="24"/>
          <w:highlight w:val="none"/>
        </w:rPr>
        <w:t>）</w:t>
      </w:r>
      <w:r>
        <w:rPr>
          <w:rFonts w:hint="eastAsia" w:ascii="Times New Roman" w:hAnsi="Times New Roman" w:eastAsia="仿宋" w:cs="Times New Roman"/>
          <w:sz w:val="24"/>
          <w:szCs w:val="24"/>
          <w:highlight w:val="none"/>
          <w:lang w:val="zh-CN" w:eastAsia="zh-CN"/>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49730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zh-CN" w:eastAsia="zh-CN"/>
        </w:rPr>
      </w:pPr>
      <w:r>
        <w:rPr>
          <w:rFonts w:hint="eastAsia" w:ascii="Times New Roman" w:hAnsi="Times New Roman" w:eastAsia="仿宋" w:cs="Times New Roman"/>
          <w:sz w:val="24"/>
          <w:szCs w:val="24"/>
          <w:highlight w:val="none"/>
          <w:lang w:val="en-US" w:eastAsia="zh-CN"/>
        </w:rPr>
        <w:t>3.</w:t>
      </w:r>
      <w:r>
        <w:rPr>
          <w:rFonts w:hint="eastAsia" w:ascii="Times New Roman" w:hAnsi="Times New Roman" w:eastAsia="仿宋" w:cs="Times New Roman"/>
          <w:sz w:val="24"/>
          <w:szCs w:val="24"/>
          <w:highlight w:val="none"/>
          <w:lang w:val="zh-CN" w:eastAsia="zh-CN"/>
        </w:rPr>
        <w:t>分包履行合同的部分应当为采购项目的非主体、非关键性工作，不属于成交供应商的主要合同义务。本项目可以分包履行的具体内容、金额或者比例。</w:t>
      </w:r>
    </w:p>
    <w:p w14:paraId="70BBE39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（三）合同转包（实质性要求）</w:t>
      </w:r>
    </w:p>
    <w:p w14:paraId="3FCEB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5B98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2.成交供应商转包的，视同拒绝履行采购合同义务，将依法追究法律责任。</w:t>
      </w:r>
    </w:p>
    <w:p w14:paraId="0F578E6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（四）履约保证金（实质性要求）</w:t>
      </w:r>
    </w:p>
    <w:p w14:paraId="2C8662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highlight w:val="none"/>
          <w:lang w:val="en-US" w:eastAsia="zh-CN"/>
        </w:rPr>
      </w:pPr>
      <w:r>
        <w:rPr>
          <w:rFonts w:hint="eastAsia" w:ascii="Times New Roman" w:hAnsi="Times New Roman" w:eastAsia="仿宋" w:cs="Times New Roman"/>
          <w:sz w:val="24"/>
          <w:szCs w:val="24"/>
          <w:highlight w:val="none"/>
          <w:lang w:val="en-US" w:eastAsia="zh-CN"/>
        </w:rPr>
        <w:t>1.本项目是否交纳履约保证金，以“供应商须知附表”为准。</w:t>
      </w:r>
    </w:p>
    <w:p w14:paraId="1501DB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w:t>
      </w:r>
      <w:r>
        <w:rPr>
          <w:rFonts w:hint="eastAsia" w:ascii="Times New Roman" w:hAnsi="Times New Roman" w:eastAsia="仿宋" w:cs="Times New Roman"/>
          <w:b/>
          <w:sz w:val="24"/>
          <w:szCs w:val="24"/>
          <w:highlight w:val="none"/>
          <w:lang w:val="en-US" w:eastAsia="zh-CN"/>
        </w:rPr>
        <w:t>（以下仅适用于交纳履约保证金的情形）</w:t>
      </w:r>
      <w:r>
        <w:rPr>
          <w:rFonts w:hint="eastAsia" w:ascii="Times New Roman" w:hAnsi="Times New Roman" w:eastAsia="仿宋" w:cs="Times New Roman"/>
          <w:sz w:val="24"/>
          <w:szCs w:val="24"/>
          <w:highlight w:val="none"/>
          <w:lang w:val="en-US" w:eastAsia="zh-CN"/>
        </w:rPr>
        <w:t>成交供应商应在合同签订之前交纳采购文件规定数额的履约保证金。</w:t>
      </w:r>
    </w:p>
    <w:p w14:paraId="74BD2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3.如果成交供应商在规定的合同签订时间内，没有按照采购文件的规定交纳履约保证金，且又无正当理由的，将视为放弃成交。</w:t>
      </w:r>
    </w:p>
    <w:p w14:paraId="1273A2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4.履约保证金退还方式及时间：以“供应商须知附表”为准。</w:t>
      </w:r>
    </w:p>
    <w:p w14:paraId="3D7E33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5.履约保证金不予退还情形：</w:t>
      </w:r>
    </w:p>
    <w:p w14:paraId="7164D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（1）成交供应商不履行与采购人订立的合同的，给采购人造成的损失超过履约保证金数额的，还应当对超过部分予以赔偿；</w:t>
      </w:r>
    </w:p>
    <w:p w14:paraId="7B72E2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（2）项目验收结果不合格的；</w:t>
      </w:r>
    </w:p>
    <w:p w14:paraId="4B307A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（3）其他违反国家相关法律法规的情形；</w:t>
      </w:r>
    </w:p>
    <w:p w14:paraId="3ED6A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（4）采购文件中规定不予退还的情形。</w:t>
      </w:r>
    </w:p>
    <w:p w14:paraId="592C2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6.履约保证金不予退还的，将按照有关规定上缴国库。逾期退还履约保证金的，将依法承担法律责任。</w:t>
      </w:r>
    </w:p>
    <w:p w14:paraId="73B2D5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（五）履行合同</w:t>
      </w:r>
    </w:p>
    <w:p w14:paraId="605B9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1.成交供应商与采购人签订合同后，合同双方应严格执行合同条款，履行合同规定的义务，保证合同的顺利完成。</w:t>
      </w:r>
    </w:p>
    <w:p w14:paraId="7B1A3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Times New Roman" w:hAnsi="Times New Roman" w:eastAsia="仿宋" w:cs="Times New Roman"/>
          <w:sz w:val="24"/>
          <w:szCs w:val="24"/>
          <w:highlight w:val="none"/>
          <w:lang w:val="en-US" w:eastAsia="zh-CN"/>
        </w:rPr>
        <w:t>2.在合同履行过程中，如发生合同纠纷，合同双方应按照《中华人民共和国民法典》的有关规定进行处理。</w:t>
      </w:r>
    </w:p>
    <w:p w14:paraId="7B2D068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（六）验收</w:t>
      </w:r>
    </w:p>
    <w:p w14:paraId="4BBE4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本项目采购人及其委托的采购代理机构将参照政府采购相关法律法规以及《财政部关于进一步加强政府采购需求和履约验收管理的指导意见》（财库〔2016〕205号）、《政府采购需求管理办法》（财库〔2021〕22号）的要求进行验收。</w:t>
      </w:r>
    </w:p>
    <w:p w14:paraId="04515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2.验收结果合格的，成交供应商凭验收报告办理相关手续；验收结果不合格的，履约保证金将不予退还，也将不予支付采购资金，还可能会报告主管部门予以处罚。</w:t>
      </w:r>
    </w:p>
    <w:p w14:paraId="740F0A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（七）合同价款支付</w:t>
      </w:r>
    </w:p>
    <w:p w14:paraId="334D5B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highlight w:val="none"/>
        </w:rPr>
      </w:pPr>
      <w:r>
        <w:rPr>
          <w:rFonts w:hint="eastAsia" w:ascii="Times New Roman" w:hAnsi="Times New Roman" w:eastAsia="仿宋" w:cs="Times New Roman"/>
          <w:sz w:val="24"/>
          <w:szCs w:val="24"/>
          <w:highlight w:val="none"/>
          <w:lang w:val="en-US" w:eastAsia="zh-CN"/>
        </w:rPr>
        <w:t>采购人将按照采购合同规定，及时向成交供应商支付采购资金。本项目采购资金付款详见第四章规定的付款方式。</w:t>
      </w:r>
    </w:p>
    <w:p w14:paraId="2B265D95">
      <w:pPr>
        <w:pageBreakBefore w:val="0"/>
        <w:widowControl w:val="0"/>
        <w:numPr>
          <w:ilvl w:val="0"/>
          <w:numId w:val="4"/>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sz w:val="28"/>
          <w:szCs w:val="28"/>
          <w:highlight w:val="none"/>
          <w:lang w:eastAsia="zh-CN"/>
        </w:rPr>
      </w:pPr>
      <w:r>
        <w:rPr>
          <w:rFonts w:hint="eastAsia" w:ascii="Times New Roman" w:hAnsi="Times New Roman" w:eastAsia="仿宋" w:cs="Times New Roman"/>
          <w:b/>
          <w:sz w:val="28"/>
          <w:szCs w:val="28"/>
          <w:highlight w:val="none"/>
          <w:lang w:eastAsia="zh-CN"/>
        </w:rPr>
        <w:t>磋商纪律要求（实质性要求）</w:t>
      </w:r>
    </w:p>
    <w:p w14:paraId="6888882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（一）供应商纪律要求</w:t>
      </w:r>
    </w:p>
    <w:p w14:paraId="56796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1.供应商应当遵循公平竞争的原则，不得恶意串通，不得妨碍其他供应商的竞争行为，不得损害采购人或者其他供应商的合法权益。</w:t>
      </w:r>
    </w:p>
    <w:p w14:paraId="22FB9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sz w:val="24"/>
          <w:szCs w:val="24"/>
          <w:highlight w:val="none"/>
          <w:lang w:val="en-US" w:eastAsia="zh-CN"/>
        </w:rPr>
        <w:t>2.在磋商过程中发现供应商有上述情形的，磋商小组应当认定其无效响应。</w:t>
      </w:r>
    </w:p>
    <w:p w14:paraId="41A8F55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sz w:val="24"/>
          <w:szCs w:val="24"/>
          <w:highlight w:val="none"/>
          <w:lang w:val="en-US" w:eastAsia="zh-CN"/>
        </w:rPr>
      </w:pPr>
      <w:r>
        <w:rPr>
          <w:rFonts w:hint="eastAsia" w:ascii="Times New Roman" w:hAnsi="Times New Roman" w:eastAsia="仿宋" w:cs="Times New Roman"/>
          <w:b/>
          <w:sz w:val="24"/>
          <w:szCs w:val="24"/>
          <w:highlight w:val="none"/>
          <w:lang w:val="en-US" w:eastAsia="zh-CN"/>
        </w:rPr>
        <w:t>（二）供应商禁止性行为，供应商参加本项目磋商不得具有以下情形：</w:t>
      </w:r>
    </w:p>
    <w:p w14:paraId="02B94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（1）提供虚假材料谋取成交；</w:t>
      </w:r>
    </w:p>
    <w:p w14:paraId="3DA35C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（2）采取不正当手段诋毁、排挤其他供应商；</w:t>
      </w:r>
    </w:p>
    <w:p w14:paraId="6B761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（3）与采购人、采购代理机构、或其他供应商恶意串通；</w:t>
      </w:r>
    </w:p>
    <w:p w14:paraId="3C80AD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（4）向采购人、采购代理机构、磋商小组成员行贿或者提供其他不正当利益；</w:t>
      </w:r>
    </w:p>
    <w:p w14:paraId="423264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（5）在磋商过程中与采购人、采购代理机构进行协商；</w:t>
      </w:r>
    </w:p>
    <w:p w14:paraId="66C29C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（6）成交后无正当理由拒不与采购人签订采购合同；</w:t>
      </w:r>
    </w:p>
    <w:p w14:paraId="4A6D7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（7）未按照磋商文件确定的事项签订采购合同；</w:t>
      </w:r>
    </w:p>
    <w:p w14:paraId="45BBDF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（8）将采购合同转包或者违规分包；</w:t>
      </w:r>
    </w:p>
    <w:p w14:paraId="2DDE87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（9）提供假冒伪劣产品；</w:t>
      </w:r>
    </w:p>
    <w:p w14:paraId="260BB0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（10）擅自变更、中止或者终止采购合同；</w:t>
      </w:r>
    </w:p>
    <w:p w14:paraId="5ABCC9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（11）拒绝有关部门的监督检查或者向监督检查部门提供虚假情况；</w:t>
      </w:r>
    </w:p>
    <w:p w14:paraId="0D396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（12）法律法规规定的其他情形。</w:t>
      </w:r>
    </w:p>
    <w:p w14:paraId="02F167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供应商有上述情形的，按照规定追究法律责任，具备（1）-（10）条情形之一的，同时将取消被确认为成交供应商的资格或者认定成交无效。</w:t>
      </w:r>
    </w:p>
    <w:p w14:paraId="160D061F">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sz w:val="28"/>
          <w:szCs w:val="28"/>
          <w:highlight w:val="none"/>
          <w:lang w:val="en-US" w:eastAsia="zh-CN"/>
        </w:rPr>
        <w:t>九、其他</w:t>
      </w:r>
    </w:p>
    <w:p w14:paraId="074804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（一）</w:t>
      </w:r>
      <w:r>
        <w:rPr>
          <w:rFonts w:hint="eastAsia" w:ascii="Times New Roman" w:hAnsi="Times New Roman" w:eastAsia="仿宋" w:cs="Times New Roman"/>
          <w:sz w:val="24"/>
          <w:szCs w:val="24"/>
          <w:highlight w:val="none"/>
          <w:lang w:val="en-US" w:eastAsia="zh-CN"/>
        </w:rPr>
        <w:t>本磋商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磋商文件不再做调整。</w:t>
      </w:r>
    </w:p>
    <w:p w14:paraId="2A4CC9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磋商须知前附表为准，如前附表中无相关内容，在保证国家、集体和采购人利益不受损害的情况下按有利于供应商的原则进行处理。</w:t>
      </w:r>
    </w:p>
    <w:p w14:paraId="0DF704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highlight w:val="none"/>
        </w:rPr>
      </w:pPr>
      <w:r>
        <w:rPr>
          <w:rFonts w:hint="eastAsia" w:ascii="Times New Roman" w:hAnsi="Times New Roman" w:eastAsia="仿宋" w:cs="Times New Roman"/>
          <w:b w:val="0"/>
          <w:bCs w:val="0"/>
          <w:sz w:val="24"/>
          <w:szCs w:val="24"/>
          <w:highlight w:val="none"/>
          <w:lang w:val="en-US" w:eastAsia="zh-CN"/>
        </w:rPr>
        <w:t>（三）</w:t>
      </w:r>
      <w:r>
        <w:rPr>
          <w:rFonts w:hint="eastAsia" w:ascii="Times New Roman" w:hAnsi="Times New Roman" w:eastAsia="仿宋" w:cs="Times New Roman"/>
          <w:sz w:val="24"/>
          <w:szCs w:val="24"/>
          <w:highlight w:val="none"/>
          <w:lang w:val="en-US" w:eastAsia="zh-CN"/>
        </w:rPr>
        <w:t>本项目涉及企业资质、产品认证、人员执业资格、行业标准等描述与国家最新要求不一致时以国家最新要求为准。</w:t>
      </w:r>
    </w:p>
    <w:p w14:paraId="4AF491C3">
      <w:pPr>
        <w:rPr>
          <w:rFonts w:ascii="仿宋" w:hAnsi="仿宋" w:eastAsia="仿宋"/>
          <w:b/>
          <w:bCs w:val="0"/>
          <w:color w:val="000000"/>
          <w:sz w:val="36"/>
          <w:szCs w:val="36"/>
          <w:highlight w:val="none"/>
        </w:rPr>
      </w:pPr>
      <w:bookmarkStart w:id="31" w:name="_Toc26583"/>
      <w:bookmarkStart w:id="32" w:name="_Toc62832452"/>
      <w:bookmarkStart w:id="33" w:name="_Toc471310423"/>
      <w:bookmarkStart w:id="34" w:name="_Toc315963028"/>
      <w:bookmarkStart w:id="35" w:name="_Toc389231763"/>
      <w:bookmarkStart w:id="36" w:name="_Toc62832453"/>
      <w:r>
        <w:rPr>
          <w:rFonts w:ascii="仿宋" w:hAnsi="仿宋" w:eastAsia="仿宋"/>
          <w:b/>
          <w:bCs w:val="0"/>
          <w:color w:val="000000"/>
          <w:sz w:val="36"/>
          <w:szCs w:val="36"/>
          <w:highlight w:val="none"/>
        </w:rPr>
        <w:br w:type="page"/>
      </w:r>
    </w:p>
    <w:p w14:paraId="40352F0C">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Cs/>
          <w:color w:val="000000"/>
          <w:sz w:val="36"/>
          <w:szCs w:val="36"/>
          <w:highlight w:val="none"/>
          <w:lang w:eastAsia="zh-CN"/>
        </w:rPr>
      </w:pPr>
      <w:bookmarkStart w:id="37" w:name="_Toc22978"/>
      <w:r>
        <w:rPr>
          <w:rFonts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rPr>
        <w:t>三</w:t>
      </w:r>
      <w:r>
        <w:rPr>
          <w:rFonts w:ascii="仿宋" w:hAnsi="仿宋" w:eastAsia="仿宋"/>
          <w:b/>
          <w:bCs w:val="0"/>
          <w:color w:val="000000"/>
          <w:sz w:val="36"/>
          <w:szCs w:val="36"/>
          <w:highlight w:val="none"/>
        </w:rPr>
        <w:t>章</w:t>
      </w:r>
      <w:r>
        <w:rPr>
          <w:rFonts w:hint="eastAsia" w:ascii="仿宋" w:hAnsi="仿宋" w:eastAsia="仿宋"/>
          <w:b/>
          <w:bCs w:val="0"/>
          <w:color w:val="000000"/>
          <w:sz w:val="36"/>
          <w:szCs w:val="36"/>
          <w:highlight w:val="none"/>
        </w:rPr>
        <w:t xml:space="preserve"> 资格</w:t>
      </w:r>
      <w:bookmarkEnd w:id="31"/>
      <w:bookmarkEnd w:id="32"/>
      <w:r>
        <w:rPr>
          <w:rFonts w:hint="eastAsia" w:ascii="仿宋" w:hAnsi="仿宋" w:eastAsia="仿宋"/>
          <w:b/>
          <w:bCs w:val="0"/>
          <w:color w:val="000000"/>
          <w:sz w:val="36"/>
          <w:szCs w:val="36"/>
          <w:highlight w:val="none"/>
          <w:lang w:val="en-US" w:eastAsia="zh-CN"/>
        </w:rPr>
        <w:t>审查</w:t>
      </w:r>
      <w:bookmarkEnd w:id="37"/>
    </w:p>
    <w:p w14:paraId="3569DEB3">
      <w:pPr>
        <w:widowControl/>
        <w:spacing w:line="360" w:lineRule="atLeast"/>
        <w:ind w:firstLine="470" w:firstLineChars="196"/>
        <w:rPr>
          <w:rFonts w:ascii="仿宋" w:hAnsi="仿宋" w:eastAsia="仿宋"/>
          <w:sz w:val="24"/>
          <w:highlight w:val="none"/>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424"/>
        <w:gridCol w:w="6038"/>
      </w:tblGrid>
      <w:tr w14:paraId="053A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14:paraId="5BDD6F69">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序号</w:t>
            </w:r>
          </w:p>
        </w:tc>
        <w:tc>
          <w:tcPr>
            <w:tcW w:w="1321" w:type="pct"/>
            <w:vAlign w:val="center"/>
          </w:tcPr>
          <w:p w14:paraId="775E5644">
            <w:pPr>
              <w:adjustRightInd w:val="0"/>
              <w:spacing w:line="300" w:lineRule="auto"/>
              <w:jc w:val="center"/>
              <w:rPr>
                <w:rFonts w:ascii="Times New Roman" w:hAnsi="Times New Roman" w:eastAsia="仿宋" w:cs="Times New Roman"/>
                <w:b/>
                <w:sz w:val="24"/>
                <w:szCs w:val="24"/>
                <w:highlight w:val="none"/>
              </w:rPr>
            </w:pPr>
            <w:r>
              <w:rPr>
                <w:rFonts w:ascii="Times New Roman" w:hAnsi="Times New Roman" w:eastAsia="仿宋" w:cs="Times New Roman"/>
                <w:b/>
                <w:sz w:val="24"/>
                <w:szCs w:val="24"/>
                <w:highlight w:val="none"/>
              </w:rPr>
              <w:t>本项目的资格要求</w:t>
            </w:r>
          </w:p>
        </w:tc>
        <w:tc>
          <w:tcPr>
            <w:tcW w:w="3290" w:type="pct"/>
            <w:vAlign w:val="center"/>
          </w:tcPr>
          <w:p w14:paraId="084BC959">
            <w:pPr>
              <w:adjustRightInd w:val="0"/>
              <w:spacing w:line="300" w:lineRule="auto"/>
              <w:jc w:val="center"/>
              <w:rPr>
                <w:rFonts w:hint="default" w:ascii="Times New Roman" w:hAnsi="Times New Roman" w:eastAsia="仿宋" w:cs="Times New Roman"/>
                <w:b/>
                <w:sz w:val="24"/>
                <w:szCs w:val="24"/>
                <w:highlight w:val="none"/>
                <w:lang w:val="en-US"/>
              </w:rPr>
            </w:pPr>
            <w:r>
              <w:rPr>
                <w:rFonts w:hint="eastAsia" w:ascii="Times New Roman" w:hAnsi="Times New Roman" w:eastAsia="仿宋" w:cs="Times New Roman"/>
                <w:b/>
                <w:sz w:val="24"/>
                <w:szCs w:val="24"/>
                <w:highlight w:val="none"/>
                <w:lang w:val="en-US" w:eastAsia="zh-CN"/>
              </w:rPr>
              <w:t>通过条件</w:t>
            </w:r>
          </w:p>
        </w:tc>
      </w:tr>
      <w:tr w14:paraId="4E4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trPr>
        <w:tc>
          <w:tcPr>
            <w:tcW w:w="388" w:type="pct"/>
            <w:vAlign w:val="center"/>
          </w:tcPr>
          <w:p w14:paraId="328E7C0D">
            <w:pPr>
              <w:spacing w:line="360" w:lineRule="auto"/>
              <w:jc w:val="center"/>
              <w:rPr>
                <w:rFonts w:ascii="Times New Roman" w:hAnsi="Times New Roman" w:eastAsia="仿宋" w:cs="Times New Roman"/>
                <w:bCs/>
                <w:sz w:val="24"/>
                <w:szCs w:val="24"/>
                <w:highlight w:val="none"/>
              </w:rPr>
            </w:pPr>
            <w:r>
              <w:rPr>
                <w:rFonts w:ascii="仿宋" w:hAnsi="仿宋" w:eastAsia="仿宋"/>
                <w:b/>
                <w:color w:val="000000" w:themeColor="text1"/>
                <w:sz w:val="24"/>
                <w:szCs w:val="24"/>
                <w:highlight w:val="none"/>
                <w14:textFill>
                  <w14:solidFill>
                    <w14:schemeClr w14:val="tx1"/>
                  </w14:solidFill>
                </w14:textFill>
              </w:rPr>
              <w:t>1</w:t>
            </w:r>
          </w:p>
        </w:tc>
        <w:tc>
          <w:tcPr>
            <w:tcW w:w="1321" w:type="pct"/>
            <w:vAlign w:val="center"/>
          </w:tcPr>
          <w:p w14:paraId="07E020B0">
            <w:pPr>
              <w:spacing w:line="360" w:lineRule="auto"/>
              <w:jc w:val="center"/>
              <w:rPr>
                <w:rFonts w:ascii="Times New Roman" w:hAnsi="Times New Roman" w:eastAsia="仿宋" w:cs="Times New Roman"/>
                <w:bCs/>
                <w:sz w:val="24"/>
                <w:szCs w:val="24"/>
                <w:highlight w:val="none"/>
              </w:rPr>
            </w:pPr>
            <w:r>
              <w:rPr>
                <w:rFonts w:ascii="等线" w:hAnsi="等线" w:eastAsia="仿宋"/>
                <w:b/>
                <w:color w:val="000000" w:themeColor="text1"/>
                <w:sz w:val="24"/>
                <w:szCs w:val="24"/>
                <w:highlight w:val="none"/>
                <w14:textFill>
                  <w14:solidFill>
                    <w14:schemeClr w14:val="tx1"/>
                  </w14:solidFill>
                </w14:textFill>
              </w:rPr>
              <w:t>具有独立承担民事责任的能力</w:t>
            </w:r>
          </w:p>
        </w:tc>
        <w:tc>
          <w:tcPr>
            <w:tcW w:w="3290" w:type="pct"/>
            <w:vAlign w:val="center"/>
          </w:tcPr>
          <w:p w14:paraId="69F8B0EB">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（1）供应商若为企业法人：提供“统一社会信用代码营业执照”；未换证的提供“营业执照、税务登记证、组织机构代码证或三证合一的营业执照”；</w:t>
            </w:r>
          </w:p>
          <w:p w14:paraId="334B08E3">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（2）若为事业法人：提供“统一社会信用代码法人登记证书”；未换证的提交“事业法人登记证书、组织机构代码证”；</w:t>
            </w:r>
          </w:p>
          <w:p w14:paraId="1C1AE82C">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（3）若为其他组织：提供“对应主管部门颁发的准许执业证明文件或营业执照”；</w:t>
            </w:r>
          </w:p>
          <w:p w14:paraId="4AD24F61">
            <w:pPr>
              <w:adjustRightInd w:val="0"/>
              <w:spacing w:line="500" w:lineRule="exact"/>
              <w:jc w:val="left"/>
              <w:rPr>
                <w:rFonts w:hint="default" w:eastAsia="仿宋"/>
                <w:sz w:val="24"/>
                <w:szCs w:val="24"/>
                <w:highlight w:val="none"/>
                <w:lang w:val="en-US" w:eastAsia="zh-CN"/>
              </w:rPr>
            </w:pPr>
            <w:r>
              <w:rPr>
                <w:rFonts w:hint="eastAsia" w:ascii="仿宋" w:hAnsi="仿宋" w:eastAsia="仿宋"/>
                <w:bCs/>
                <w:sz w:val="24"/>
                <w:szCs w:val="24"/>
                <w:highlight w:val="none"/>
                <w:lang w:val="en-US" w:eastAsia="zh-CN"/>
              </w:rPr>
              <w:t>（4）若为自然人：提供“身份证明材料”；</w:t>
            </w:r>
          </w:p>
        </w:tc>
      </w:tr>
      <w:tr w14:paraId="0F38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388" w:type="pct"/>
            <w:vAlign w:val="center"/>
          </w:tcPr>
          <w:p w14:paraId="0E68000B">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2</w:t>
            </w:r>
          </w:p>
        </w:tc>
        <w:tc>
          <w:tcPr>
            <w:tcW w:w="1321" w:type="pct"/>
            <w:vAlign w:val="center"/>
          </w:tcPr>
          <w:p w14:paraId="05573E5C">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具有健全的财务会计制度</w:t>
            </w:r>
          </w:p>
        </w:tc>
        <w:tc>
          <w:tcPr>
            <w:tcW w:w="3290" w:type="pct"/>
            <w:vAlign w:val="center"/>
          </w:tcPr>
          <w:p w14:paraId="511C4A0F">
            <w:pPr>
              <w:adjustRightInd w:val="0"/>
              <w:spacing w:line="500" w:lineRule="exact"/>
              <w:jc w:val="left"/>
              <w:rPr>
                <w:rFonts w:hint="default" w:ascii="仿宋" w:hAnsi="仿宋" w:eastAsia="仿宋"/>
                <w:bCs/>
                <w:sz w:val="24"/>
                <w:szCs w:val="24"/>
                <w:highlight w:val="none"/>
                <w:lang w:val="en-US" w:eastAsia="zh-CN"/>
              </w:rPr>
            </w:pPr>
            <w:r>
              <w:rPr>
                <w:rFonts w:hint="eastAsia" w:ascii="仿宋" w:hAnsi="仿宋" w:eastAsia="仿宋"/>
                <w:b/>
                <w:color w:val="000000" w:themeColor="text1"/>
                <w:sz w:val="24"/>
                <w:szCs w:val="24"/>
                <w:highlight w:val="none"/>
                <w:lang w:eastAsia="zh-CN"/>
                <w14:textFill>
                  <w14:solidFill>
                    <w14:schemeClr w14:val="tx1"/>
                  </w14:solidFill>
                </w14:textFill>
              </w:rPr>
              <w:t>供应商根据自身情况选择提供其中任意一项：</w:t>
            </w:r>
          </w:p>
          <w:p w14:paraId="201B5472">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（1）可提供2022</w:t>
            </w:r>
            <w:r>
              <w:rPr>
                <w:rFonts w:hint="eastAsia" w:ascii="仿宋" w:hAnsi="仿宋" w:eastAsia="仿宋" w:cs="Times New Roman"/>
                <w:bCs/>
                <w:sz w:val="24"/>
                <w:szCs w:val="24"/>
                <w:highlight w:val="none"/>
                <w:lang w:val="en-US" w:eastAsia="zh-CN"/>
              </w:rPr>
              <w:t>或2023</w:t>
            </w:r>
            <w:r>
              <w:rPr>
                <w:rFonts w:hint="eastAsia" w:ascii="仿宋" w:hAnsi="仿宋" w:eastAsia="仿宋"/>
                <w:bCs/>
                <w:sz w:val="24"/>
                <w:szCs w:val="24"/>
                <w:highlight w:val="none"/>
                <w:lang w:val="en-US" w:eastAsia="zh-CN"/>
              </w:rPr>
              <w:t>年度经审计的财务报告复印件（包含审计报告和审计报告中所涉及的财务报表和报表附注）；</w:t>
            </w:r>
          </w:p>
          <w:p w14:paraId="6296E1CE">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（2）也可提供截至提交首次响应文件截止日一年内银行出具的资信证明（复印件）；</w:t>
            </w:r>
          </w:p>
          <w:p w14:paraId="35B58C6F">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（3）供应商注册时间截至提交首次响应文件截止日不足一年的，也可提供工商管理部门备案的公司章程（复印件）；</w:t>
            </w:r>
          </w:p>
          <w:p w14:paraId="4899F4EA">
            <w:pPr>
              <w:adjustRightInd w:val="0"/>
              <w:spacing w:line="500" w:lineRule="exact"/>
              <w:jc w:val="left"/>
              <w:rPr>
                <w:rFonts w:ascii="Times New Roman" w:hAnsi="Times New Roman" w:eastAsia="仿宋" w:cs="Times New Roman"/>
                <w:bCs/>
                <w:sz w:val="24"/>
                <w:szCs w:val="24"/>
                <w:highlight w:val="none"/>
              </w:rPr>
            </w:pPr>
            <w:r>
              <w:rPr>
                <w:rFonts w:hint="eastAsia" w:ascii="仿宋" w:hAnsi="仿宋" w:eastAsia="仿宋"/>
                <w:bCs/>
                <w:sz w:val="24"/>
                <w:szCs w:val="24"/>
                <w:highlight w:val="none"/>
                <w:lang w:val="en-US" w:eastAsia="zh-CN"/>
              </w:rPr>
              <w:t>（4）供应商也可提供承诺函</w:t>
            </w:r>
          </w:p>
        </w:tc>
      </w:tr>
      <w:tr w14:paraId="0B8F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4FF83BA4">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3</w:t>
            </w:r>
          </w:p>
        </w:tc>
        <w:tc>
          <w:tcPr>
            <w:tcW w:w="1321" w:type="pct"/>
            <w:vAlign w:val="center"/>
          </w:tcPr>
          <w:p w14:paraId="273FA047">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具有良好的商业信誉</w:t>
            </w:r>
            <w:r>
              <w:rPr>
                <w:rFonts w:hint="eastAsia" w:ascii="仿宋" w:hAnsi="仿宋" w:eastAsia="仿宋"/>
                <w:b/>
                <w:color w:val="000000" w:themeColor="text1"/>
                <w:sz w:val="24"/>
                <w:szCs w:val="24"/>
                <w:highlight w:val="none"/>
                <w:lang w:eastAsia="zh-CN"/>
                <w14:textFill>
                  <w14:solidFill>
                    <w14:schemeClr w14:val="tx1"/>
                  </w14:solidFill>
                </w14:textFill>
              </w:rPr>
              <w:t>和</w:t>
            </w:r>
            <w:r>
              <w:rPr>
                <w:rFonts w:ascii="仿宋" w:hAnsi="仿宋" w:eastAsia="仿宋"/>
                <w:b/>
                <w:color w:val="000000" w:themeColor="text1"/>
                <w:sz w:val="24"/>
                <w:szCs w:val="24"/>
                <w:highlight w:val="none"/>
                <w14:textFill>
                  <w14:solidFill>
                    <w14:schemeClr w14:val="tx1"/>
                  </w14:solidFill>
                </w14:textFill>
              </w:rPr>
              <w:t>履行合同所必需的设备和专业技术能力</w:t>
            </w:r>
          </w:p>
        </w:tc>
        <w:tc>
          <w:tcPr>
            <w:tcW w:w="3290" w:type="pct"/>
            <w:vMerge w:val="restart"/>
            <w:vAlign w:val="center"/>
          </w:tcPr>
          <w:p w14:paraId="15A64D4F">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val="en-US" w:eastAsia="zh-CN"/>
              </w:rPr>
              <w:t>统一</w:t>
            </w:r>
            <w:r>
              <w:rPr>
                <w:rFonts w:ascii="Times New Roman" w:hAnsi="Times New Roman" w:eastAsia="仿宋" w:cs="Times New Roman"/>
                <w:bCs/>
                <w:sz w:val="24"/>
                <w:szCs w:val="24"/>
                <w:highlight w:val="none"/>
              </w:rPr>
              <w:t>提供承诺函</w:t>
            </w:r>
          </w:p>
          <w:p w14:paraId="73097235">
            <w:pPr>
              <w:adjustRightInd w:val="0"/>
              <w:spacing w:line="300" w:lineRule="auto"/>
              <w:jc w:val="center"/>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（格式</w:t>
            </w:r>
            <w:r>
              <w:rPr>
                <w:rFonts w:hint="eastAsia" w:ascii="Times New Roman" w:hAnsi="Times New Roman" w:eastAsia="仿宋" w:cs="Times New Roman"/>
                <w:bCs/>
                <w:sz w:val="24"/>
                <w:szCs w:val="24"/>
                <w:highlight w:val="none"/>
                <w:lang w:val="en-US" w:eastAsia="zh-CN"/>
              </w:rPr>
              <w:t>详见第六章“资格性响应文件”中“承诺函”）</w:t>
            </w:r>
          </w:p>
        </w:tc>
      </w:tr>
      <w:tr w14:paraId="5B0E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3421A9D6">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4</w:t>
            </w:r>
          </w:p>
        </w:tc>
        <w:tc>
          <w:tcPr>
            <w:tcW w:w="1321" w:type="pct"/>
            <w:vAlign w:val="center"/>
          </w:tcPr>
          <w:p w14:paraId="2280EA62">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有依法缴纳税收和社会保障资金的良好记录</w:t>
            </w:r>
          </w:p>
        </w:tc>
        <w:tc>
          <w:tcPr>
            <w:tcW w:w="3290" w:type="pct"/>
            <w:vMerge w:val="continue"/>
            <w:vAlign w:val="center"/>
          </w:tcPr>
          <w:p w14:paraId="6192AA3F">
            <w:pPr>
              <w:adjustRightInd w:val="0"/>
              <w:spacing w:line="300" w:lineRule="auto"/>
              <w:rPr>
                <w:rFonts w:ascii="Times New Roman" w:hAnsi="Times New Roman" w:eastAsia="仿宋" w:cs="Times New Roman"/>
                <w:bCs/>
                <w:sz w:val="24"/>
                <w:szCs w:val="24"/>
                <w:highlight w:val="none"/>
              </w:rPr>
            </w:pPr>
          </w:p>
        </w:tc>
      </w:tr>
      <w:tr w14:paraId="67A8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14:paraId="08516635">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5</w:t>
            </w:r>
          </w:p>
        </w:tc>
        <w:tc>
          <w:tcPr>
            <w:tcW w:w="1321" w:type="pct"/>
            <w:vAlign w:val="center"/>
          </w:tcPr>
          <w:p w14:paraId="782EB76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参加本次采购活动前三年内，在经营活动中没有重大违法记录</w:t>
            </w:r>
          </w:p>
        </w:tc>
        <w:tc>
          <w:tcPr>
            <w:tcW w:w="3290" w:type="pct"/>
            <w:vMerge w:val="continue"/>
            <w:vAlign w:val="center"/>
          </w:tcPr>
          <w:p w14:paraId="180F9212">
            <w:pPr>
              <w:adjustRightInd w:val="0"/>
              <w:spacing w:line="300" w:lineRule="auto"/>
              <w:rPr>
                <w:rFonts w:ascii="Times New Roman" w:hAnsi="Times New Roman" w:eastAsia="仿宋" w:cs="Times New Roman"/>
                <w:bCs/>
                <w:sz w:val="24"/>
                <w:szCs w:val="24"/>
                <w:highlight w:val="none"/>
              </w:rPr>
            </w:pPr>
          </w:p>
        </w:tc>
      </w:tr>
      <w:tr w14:paraId="12D2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14:paraId="4F19755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6</w:t>
            </w:r>
          </w:p>
        </w:tc>
        <w:tc>
          <w:tcPr>
            <w:tcW w:w="1321" w:type="pct"/>
            <w:vAlign w:val="center"/>
          </w:tcPr>
          <w:p w14:paraId="2EFA4F85">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法律、行政法规规定的其他条件</w:t>
            </w:r>
          </w:p>
        </w:tc>
        <w:tc>
          <w:tcPr>
            <w:tcW w:w="3290" w:type="pct"/>
            <w:vMerge w:val="continue"/>
            <w:vAlign w:val="center"/>
          </w:tcPr>
          <w:p w14:paraId="05D25321">
            <w:pPr>
              <w:adjustRightInd w:val="0"/>
              <w:spacing w:line="300" w:lineRule="auto"/>
              <w:rPr>
                <w:rFonts w:ascii="Times New Roman" w:hAnsi="Times New Roman" w:eastAsia="仿宋" w:cs="Times New Roman"/>
                <w:bCs/>
                <w:sz w:val="24"/>
                <w:szCs w:val="24"/>
                <w:highlight w:val="none"/>
              </w:rPr>
            </w:pPr>
          </w:p>
        </w:tc>
      </w:tr>
      <w:tr w14:paraId="6777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4B8F178D">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7</w:t>
            </w:r>
          </w:p>
        </w:tc>
        <w:tc>
          <w:tcPr>
            <w:tcW w:w="2424" w:type="dxa"/>
            <w:vAlign w:val="center"/>
          </w:tcPr>
          <w:p w14:paraId="5F56135E">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其他类似效力要求：</w:t>
            </w:r>
          </w:p>
          <w:p w14:paraId="7B0BB627">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授权参加本次</w:t>
            </w:r>
            <w:r>
              <w:rPr>
                <w:rFonts w:hint="eastAsia" w:ascii="仿宋" w:hAnsi="仿宋" w:eastAsia="仿宋"/>
                <w:b/>
                <w:color w:val="000000" w:themeColor="text1"/>
                <w:sz w:val="24"/>
                <w:szCs w:val="24"/>
                <w:highlight w:val="none"/>
                <w:lang w:eastAsia="zh-CN"/>
                <w14:textFill>
                  <w14:solidFill>
                    <w14:schemeClr w14:val="tx1"/>
                  </w14:solidFill>
                </w14:textFill>
              </w:rPr>
              <w:t>采购</w:t>
            </w:r>
            <w:r>
              <w:rPr>
                <w:rFonts w:hint="eastAsia" w:ascii="仿宋" w:hAnsi="仿宋" w:eastAsia="仿宋"/>
                <w:b/>
                <w:color w:val="000000" w:themeColor="text1"/>
                <w:sz w:val="24"/>
                <w:szCs w:val="24"/>
                <w:highlight w:val="none"/>
                <w14:textFill>
                  <w14:solidFill>
                    <w14:schemeClr w14:val="tx1"/>
                  </w14:solidFill>
                </w14:textFill>
              </w:rPr>
              <w:t>活动的供应商代表证明</w:t>
            </w:r>
            <w:r>
              <w:rPr>
                <w:rFonts w:hint="eastAsia" w:ascii="仿宋" w:hAnsi="仿宋" w:eastAsia="仿宋"/>
                <w:b/>
                <w:color w:val="000000" w:themeColor="text1"/>
                <w:sz w:val="24"/>
                <w:szCs w:val="24"/>
                <w:highlight w:val="none"/>
                <w:lang w:eastAsia="zh-CN"/>
                <w14:textFill>
                  <w14:solidFill>
                    <w14:schemeClr w14:val="tx1"/>
                  </w14:solidFill>
                </w14:textFill>
              </w:rPr>
              <w:t>；</w:t>
            </w:r>
          </w:p>
          <w:p w14:paraId="69283278">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2.</w:t>
            </w:r>
            <w:r>
              <w:rPr>
                <w:rFonts w:hint="eastAsia" w:ascii="仿宋" w:hAnsi="仿宋" w:eastAsia="仿宋"/>
                <w:b/>
                <w:color w:val="000000" w:themeColor="text1"/>
                <w:sz w:val="24"/>
                <w:szCs w:val="24"/>
                <w:highlight w:val="none"/>
                <w:lang w:eastAsia="zh-CN"/>
                <w14:textFill>
                  <w14:solidFill>
                    <w14:schemeClr w14:val="tx1"/>
                  </w14:solidFill>
                </w14:textFill>
              </w:rPr>
              <w:t>交纳磋商保证金；</w:t>
            </w:r>
          </w:p>
          <w:p w14:paraId="29045C7B">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p>
        </w:tc>
        <w:tc>
          <w:tcPr>
            <w:tcW w:w="6038" w:type="dxa"/>
            <w:vAlign w:val="center"/>
          </w:tcPr>
          <w:p w14:paraId="0FAC85C8">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1.供应商根据自身情况选择提供其中任意一项：</w:t>
            </w:r>
          </w:p>
          <w:p w14:paraId="04F916B4">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（1）供应商代表为“授权代表”时，提供授权委托书；</w:t>
            </w:r>
          </w:p>
          <w:p w14:paraId="565E676C">
            <w:p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Cs/>
                <w:sz w:val="24"/>
                <w:szCs w:val="24"/>
                <w:highlight w:val="none"/>
                <w:lang w:val="en-US" w:eastAsia="zh-CN"/>
              </w:rPr>
              <w:t>（2）供应商代表为“法定代表人（单位负责人）”时，提供法定代表人（单位负责人）身份证明；</w:t>
            </w:r>
          </w:p>
          <w:p w14:paraId="198C2909">
            <w:pPr>
              <w:adjustRightInd w:val="0"/>
              <w:spacing w:line="500" w:lineRule="exact"/>
              <w:jc w:val="left"/>
              <w:rPr>
                <w:rFonts w:hint="eastAsia"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w:t>
            </w:r>
          </w:p>
          <w:p w14:paraId="35D6BE07">
            <w:pPr>
              <w:numPr>
                <w:ilvl w:val="0"/>
                <w:numId w:val="0"/>
              </w:numPr>
              <w:adjustRightInd w:val="0"/>
              <w:spacing w:line="500" w:lineRule="exact"/>
              <w:jc w:val="left"/>
              <w:rPr>
                <w:rFonts w:hint="eastAsia" w:ascii="仿宋" w:hAnsi="仿宋" w:eastAsia="仿宋"/>
                <w:bCs/>
                <w:sz w:val="24"/>
                <w:szCs w:val="24"/>
                <w:highlight w:val="none"/>
                <w:lang w:val="en-US" w:eastAsia="zh-CN"/>
              </w:rPr>
            </w:pPr>
            <w:r>
              <w:rPr>
                <w:rFonts w:hint="eastAsia" w:ascii="仿宋" w:hAnsi="仿宋" w:eastAsia="仿宋"/>
                <w:b/>
                <w:bCs w:val="0"/>
                <w:sz w:val="24"/>
                <w:szCs w:val="24"/>
                <w:highlight w:val="none"/>
                <w:lang w:val="en-US" w:eastAsia="zh-CN"/>
              </w:rPr>
              <w:t>2.交纳磋商保证金：</w:t>
            </w:r>
            <w:r>
              <w:rPr>
                <w:rFonts w:hint="eastAsia" w:ascii="仿宋" w:hAnsi="仿宋" w:eastAsia="仿宋"/>
                <w:bCs/>
                <w:sz w:val="24"/>
                <w:szCs w:val="24"/>
                <w:highlight w:val="none"/>
                <w:lang w:val="en-US" w:eastAsia="zh-CN"/>
              </w:rPr>
              <w:t>供应商已交纳磋商保证金的凭证（若涉及）；</w:t>
            </w:r>
          </w:p>
          <w:p w14:paraId="6AD3BFF5">
            <w:pPr>
              <w:numPr>
                <w:ilvl w:val="0"/>
                <w:numId w:val="0"/>
              </w:numPr>
              <w:adjustRightInd w:val="0"/>
              <w:spacing w:line="500" w:lineRule="exact"/>
              <w:ind w:left="0" w:leftChars="0" w:firstLine="0" w:firstLineChars="0"/>
              <w:jc w:val="left"/>
              <w:rPr>
                <w:rFonts w:hint="eastAsia" w:ascii="Times New Roman" w:hAnsi="Times New Roman" w:eastAsia="仿宋" w:cs="Times New Roman"/>
                <w:bCs/>
                <w:sz w:val="24"/>
                <w:szCs w:val="24"/>
                <w:highlight w:val="none"/>
                <w:lang w:val="en-US" w:eastAsia="zh-CN"/>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r>
              <w:rPr>
                <w:rFonts w:hint="default" w:ascii="仿宋" w:hAnsi="仿宋" w:eastAsia="仿宋"/>
                <w:bCs/>
                <w:sz w:val="24"/>
                <w:szCs w:val="24"/>
                <w:highlight w:val="none"/>
                <w:lang w:val="en-US" w:eastAsia="zh-CN"/>
              </w:rPr>
              <w:t>本项由采购代理机构提供材料，供应商无需提供证明材料</w:t>
            </w:r>
          </w:p>
        </w:tc>
      </w:tr>
      <w:tr w14:paraId="0EF9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14:paraId="1173B703">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8</w:t>
            </w:r>
          </w:p>
        </w:tc>
        <w:tc>
          <w:tcPr>
            <w:tcW w:w="2424" w:type="dxa"/>
            <w:vAlign w:val="center"/>
          </w:tcPr>
          <w:p w14:paraId="5A7E6B36">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是否属于禁止参加本次采购活动的供应商</w:t>
            </w:r>
          </w:p>
        </w:tc>
        <w:tc>
          <w:tcPr>
            <w:tcW w:w="6038" w:type="dxa"/>
            <w:vAlign w:val="center"/>
          </w:tcPr>
          <w:p w14:paraId="3ED75B6C">
            <w:pPr>
              <w:adjustRightInd w:val="0"/>
              <w:spacing w:line="500" w:lineRule="exact"/>
              <w:jc w:val="left"/>
              <w:rPr>
                <w:rFonts w:hint="eastAsia" w:ascii="仿宋" w:hAnsi="仿宋" w:eastAsia="仿宋"/>
                <w:b/>
                <w:bCs w:val="0"/>
                <w:sz w:val="24"/>
                <w:szCs w:val="22"/>
                <w:highlight w:val="none"/>
                <w:lang w:val="en-US" w:eastAsia="zh-CN"/>
              </w:rPr>
            </w:pPr>
            <w:r>
              <w:rPr>
                <w:rFonts w:hint="eastAsia" w:ascii="仿宋" w:hAnsi="仿宋" w:eastAsia="仿宋"/>
                <w:b/>
                <w:bCs w:val="0"/>
                <w:sz w:val="24"/>
                <w:szCs w:val="22"/>
                <w:highlight w:val="none"/>
                <w:lang w:val="en-US" w:eastAsia="zh-CN"/>
              </w:rPr>
              <w:t>1.信用查询：</w:t>
            </w:r>
          </w:p>
          <w:p w14:paraId="0042EFBD">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（1）本项目资格审查时，采购代理机构将通过信用中国（www.creditchina.gov.cn）和中国政府采购网（www.ccgp.gov.cn）对供应商进行信用记录查询；</w:t>
            </w:r>
          </w:p>
          <w:p w14:paraId="0C38954B">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（2）查询记录和证据留存的具体方式：与采购文件一并保存；</w:t>
            </w:r>
          </w:p>
          <w:p w14:paraId="421A6AE0">
            <w:pPr>
              <w:adjustRightInd w:val="0"/>
              <w:spacing w:line="500" w:lineRule="exact"/>
              <w:jc w:val="left"/>
              <w:rPr>
                <w:rFonts w:hint="eastAsia" w:ascii="仿宋" w:hAnsi="仿宋" w:eastAsia="仿宋"/>
                <w:bCs/>
                <w:sz w:val="24"/>
                <w:szCs w:val="22"/>
                <w:highlight w:val="none"/>
                <w:lang w:val="en-US" w:eastAsia="zh-CN"/>
              </w:rPr>
            </w:pPr>
            <w:r>
              <w:rPr>
                <w:rFonts w:hint="eastAsia" w:ascii="仿宋" w:hAnsi="仿宋" w:eastAsia="仿宋"/>
                <w:bCs/>
                <w:sz w:val="24"/>
                <w:szCs w:val="22"/>
                <w:highlight w:val="none"/>
                <w:lang w:val="en-US" w:eastAsia="zh-CN"/>
              </w:rPr>
              <w:t>（3）使用规则：对列入失信被执行人、重大税收违法案件当事人名单、政府采购严重违法失信行为记录名单的供应商，资格审查不予通过</w:t>
            </w:r>
          </w:p>
          <w:p w14:paraId="38C7F643">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注：本项由采购代理机构提供查询材料，供应商无需提供证明材料</w:t>
            </w:r>
          </w:p>
          <w:p w14:paraId="360FDC99">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2.单位负责人为同一人或者存在直接控股、管理关系的不同供应商不得参加同一合同项下的采购活动</w:t>
            </w:r>
          </w:p>
          <w:p w14:paraId="161BFDFB">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4149C26F">
            <w:pPr>
              <w:adjustRightInd w:val="0"/>
              <w:spacing w:line="500" w:lineRule="exact"/>
              <w:jc w:val="left"/>
              <w:rPr>
                <w:rFonts w:hint="eastAsia"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格式详见第六章“资格性响应文件”中“承诺函”）</w:t>
            </w:r>
          </w:p>
          <w:p w14:paraId="66D04241">
            <w:pPr>
              <w:adjustRightInd w:val="0"/>
              <w:spacing w:line="500" w:lineRule="exact"/>
              <w:jc w:val="left"/>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3.为采购项目提供整体设计、规范编制或者项目管理、监理、检测等服务的供应商，不得再参加该采购项目的其他采购活动</w:t>
            </w:r>
          </w:p>
          <w:p w14:paraId="35623285">
            <w:pPr>
              <w:adjustRightInd w:val="0"/>
              <w:spacing w:line="500" w:lineRule="exact"/>
              <w:jc w:val="left"/>
              <w:rPr>
                <w:rFonts w:ascii="Times New Roman" w:hAnsi="Times New Roman" w:eastAsia="仿宋" w:cs="Times New Roman"/>
                <w:bCs/>
                <w:sz w:val="24"/>
                <w:szCs w:val="24"/>
                <w:highlight w:val="none"/>
              </w:rPr>
            </w:pPr>
            <w:r>
              <w:rPr>
                <w:rFonts w:hint="eastAsia" w:ascii="Times New Roman" w:hAnsi="Times New Roman" w:eastAsia="仿宋" w:cs="Times New Roman"/>
                <w:bCs/>
                <w:sz w:val="24"/>
                <w:szCs w:val="24"/>
                <w:highlight w:val="none"/>
                <w:lang w:eastAsia="zh-CN"/>
              </w:rPr>
              <w:t>统一</w:t>
            </w:r>
            <w:r>
              <w:rPr>
                <w:rFonts w:ascii="Times New Roman" w:hAnsi="Times New Roman" w:eastAsia="仿宋" w:cs="Times New Roman"/>
                <w:bCs/>
                <w:sz w:val="24"/>
                <w:szCs w:val="24"/>
                <w:highlight w:val="none"/>
              </w:rPr>
              <w:t>提供承诺函</w:t>
            </w:r>
          </w:p>
          <w:p w14:paraId="1CDBF0C2">
            <w:pPr>
              <w:adjustRightInd w:val="0"/>
              <w:spacing w:line="500" w:lineRule="exact"/>
              <w:jc w:val="left"/>
              <w:rPr>
                <w:rFonts w:hint="eastAsia" w:ascii="仿宋" w:hAnsi="仿宋" w:eastAsia="仿宋"/>
                <w:b/>
                <w:bCs w:val="0"/>
                <w:sz w:val="24"/>
                <w:szCs w:val="24"/>
                <w:highlight w:val="none"/>
                <w:lang w:val="en-US" w:eastAsia="zh-CN"/>
              </w:rPr>
            </w:pPr>
            <w:r>
              <w:rPr>
                <w:rFonts w:hint="eastAsia" w:ascii="Times New Roman" w:hAnsi="Times New Roman" w:eastAsia="仿宋" w:cs="Times New Roman"/>
                <w:bCs/>
                <w:sz w:val="24"/>
                <w:szCs w:val="24"/>
                <w:highlight w:val="none"/>
                <w:lang w:eastAsia="zh-CN"/>
              </w:rPr>
              <w:t>（</w:t>
            </w:r>
            <w:r>
              <w:rPr>
                <w:rFonts w:hint="eastAsia" w:ascii="Times New Roman" w:hAnsi="Times New Roman" w:eastAsia="仿宋" w:cs="Times New Roman"/>
                <w:bCs/>
                <w:sz w:val="24"/>
                <w:szCs w:val="24"/>
                <w:highlight w:val="none"/>
                <w:lang w:val="en-US" w:eastAsia="zh-CN"/>
              </w:rPr>
              <w:t>格式详见第六章“资格性响应文件”中“承诺函”）</w:t>
            </w:r>
            <w:r>
              <w:rPr>
                <w:rFonts w:hint="eastAsia" w:ascii="仿宋" w:hAnsi="仿宋" w:eastAsia="仿宋"/>
                <w:b/>
                <w:bCs w:val="0"/>
                <w:sz w:val="24"/>
                <w:szCs w:val="24"/>
                <w:highlight w:val="none"/>
                <w:lang w:val="en-US" w:eastAsia="zh-CN"/>
              </w:rPr>
              <w:t>4.供应商应通过国家企业信用信息公示系统（https://shiming.gsxt.gov.cn），选择“企业信用信息”进行查询，并提供查询截图，若参与供应商提供的查询截图中“股东及出资信息”“主要人员信息”存在关联关系，资格审查不予通过</w:t>
            </w:r>
          </w:p>
          <w:p w14:paraId="10ED7BA0">
            <w:pPr>
              <w:adjustRightInd w:val="0"/>
              <w:spacing w:line="500" w:lineRule="exact"/>
              <w:jc w:val="left"/>
              <w:rPr>
                <w:rFonts w:hint="eastAsia" w:ascii="仿宋" w:hAnsi="仿宋" w:eastAsia="仿宋"/>
                <w:bCs/>
                <w:sz w:val="24"/>
                <w:szCs w:val="24"/>
                <w:highlight w:val="none"/>
                <w:lang w:val="en-US" w:eastAsia="zh-CN"/>
              </w:rPr>
            </w:pPr>
            <w:r>
              <w:rPr>
                <w:rFonts w:hint="eastAsia" w:ascii="Times New Roman" w:hAnsi="Times New Roman" w:eastAsia="仿宋" w:cs="Times New Roman"/>
                <w:bCs/>
                <w:kern w:val="2"/>
                <w:sz w:val="24"/>
                <w:szCs w:val="24"/>
                <w:highlight w:val="none"/>
                <w:lang w:val="en-US" w:eastAsia="zh-CN" w:bidi="ar-SA"/>
              </w:rPr>
              <w:t>（提供查询截图）</w:t>
            </w:r>
          </w:p>
        </w:tc>
      </w:tr>
      <w:tr w14:paraId="269C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56906FDF">
            <w:pPr>
              <w:adjustRightInd w:val="0"/>
              <w:spacing w:line="300" w:lineRule="auto"/>
              <w:jc w:val="center"/>
              <w:rPr>
                <w:rFonts w:hint="default" w:ascii="Times New Roman" w:hAnsi="Times New Roman" w:eastAsia="仿宋" w:cs="Times New Roman"/>
                <w:bCs/>
                <w:sz w:val="24"/>
                <w:szCs w:val="24"/>
                <w:highlight w:val="none"/>
                <w:lang w:val="en-US" w:eastAsia="zh-CN"/>
              </w:rPr>
            </w:pPr>
            <w:r>
              <w:rPr>
                <w:rFonts w:hint="eastAsia" w:ascii="Times New Roman" w:hAnsi="Times New Roman" w:eastAsia="仿宋" w:cs="Times New Roman"/>
                <w:bCs/>
                <w:sz w:val="24"/>
                <w:szCs w:val="24"/>
                <w:highlight w:val="none"/>
                <w:lang w:val="en-US" w:eastAsia="zh-CN"/>
              </w:rPr>
              <w:t>9</w:t>
            </w:r>
          </w:p>
        </w:tc>
        <w:tc>
          <w:tcPr>
            <w:tcW w:w="1321" w:type="pct"/>
            <w:vAlign w:val="center"/>
          </w:tcPr>
          <w:p w14:paraId="3D0A4574">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本项目的特定资格要求</w:t>
            </w:r>
          </w:p>
        </w:tc>
        <w:tc>
          <w:tcPr>
            <w:tcW w:w="3290" w:type="pct"/>
            <w:vAlign w:val="center"/>
          </w:tcPr>
          <w:p w14:paraId="5AEA2CED">
            <w:pPr>
              <w:adjustRightInd w:val="0"/>
              <w:spacing w:line="300" w:lineRule="auto"/>
              <w:rPr>
                <w:rFonts w:hint="default" w:ascii="Times New Roman" w:hAnsi="Times New Roman" w:eastAsia="仿宋" w:cs="Times New Roman"/>
                <w:bCs/>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1、供应商单位及其现任法定代表人、主要负责人在参加本次采购活动前三年内无行贿犯罪记录；2、本项目不接受联合体。（提供承诺函，格式自拟）</w:t>
            </w:r>
          </w:p>
        </w:tc>
      </w:tr>
    </w:tbl>
    <w:p w14:paraId="2AE101D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3B2E7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t>2.本项目所称重大违法记录中的“较大数额罚款”金额标准认定为200万元以上的罚款，法律、行政法规以及国务院有关部门明确规定相关领域“较大数额罚款”标准高于200万元的，从其规定。</w:t>
      </w:r>
      <w:bookmarkStart w:id="38" w:name="_Toc23416"/>
    </w:p>
    <w:p w14:paraId="608C16D2">
      <w:pPr>
        <w:rPr>
          <w:rFonts w:hint="eastAsia" w:ascii="Times New Roman" w:hAnsi="Times New Roman" w:eastAsia="仿宋" w:cs="Times New Roman"/>
          <w:b w:val="0"/>
          <w:bCs w:val="0"/>
          <w:sz w:val="24"/>
          <w:szCs w:val="24"/>
          <w:highlight w:val="none"/>
          <w:lang w:val="en-US" w:eastAsia="zh-CN"/>
        </w:rPr>
      </w:pPr>
      <w:r>
        <w:rPr>
          <w:rFonts w:hint="eastAsia" w:ascii="Times New Roman" w:hAnsi="Times New Roman" w:eastAsia="仿宋" w:cs="Times New Roman"/>
          <w:b w:val="0"/>
          <w:bCs w:val="0"/>
          <w:sz w:val="24"/>
          <w:szCs w:val="24"/>
          <w:highlight w:val="none"/>
          <w:lang w:val="en-US" w:eastAsia="zh-CN"/>
        </w:rPr>
        <w:br w:type="page"/>
      </w:r>
    </w:p>
    <w:p w14:paraId="1AC5F3CF">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sz w:val="36"/>
          <w:szCs w:val="36"/>
          <w:highlight w:val="none"/>
        </w:rPr>
      </w:pPr>
      <w:bookmarkStart w:id="39" w:name="_Toc24680"/>
      <w:r>
        <w:rPr>
          <w:rFonts w:hint="eastAsia" w:ascii="仿宋" w:hAnsi="仿宋" w:eastAsia="仿宋"/>
          <w:b/>
          <w:bCs w:val="0"/>
          <w:color w:val="000000"/>
          <w:sz w:val="36"/>
          <w:szCs w:val="36"/>
          <w:highlight w:val="none"/>
        </w:rPr>
        <w:t xml:space="preserve">第四章 </w:t>
      </w:r>
      <w:bookmarkEnd w:id="33"/>
      <w:bookmarkEnd w:id="34"/>
      <w:bookmarkEnd w:id="35"/>
      <w:r>
        <w:rPr>
          <w:rFonts w:hint="eastAsia" w:ascii="仿宋" w:hAnsi="仿宋" w:eastAsia="仿宋"/>
          <w:b/>
          <w:bCs w:val="0"/>
          <w:color w:val="000000"/>
          <w:sz w:val="36"/>
          <w:szCs w:val="36"/>
          <w:highlight w:val="none"/>
        </w:rPr>
        <w:t>技术、</w:t>
      </w:r>
      <w:r>
        <w:rPr>
          <w:rFonts w:hint="eastAsia" w:ascii="仿宋" w:hAnsi="仿宋" w:eastAsia="仿宋"/>
          <w:b/>
          <w:bCs w:val="0"/>
          <w:color w:val="000000"/>
          <w:sz w:val="36"/>
          <w:szCs w:val="36"/>
          <w:highlight w:val="none"/>
          <w:lang w:eastAsia="zh-CN"/>
        </w:rPr>
        <w:t>商务</w:t>
      </w:r>
      <w:r>
        <w:rPr>
          <w:rFonts w:hint="eastAsia" w:ascii="仿宋" w:hAnsi="仿宋" w:eastAsia="仿宋"/>
          <w:b/>
          <w:bCs w:val="0"/>
          <w:color w:val="000000"/>
          <w:sz w:val="36"/>
          <w:szCs w:val="36"/>
          <w:highlight w:val="none"/>
        </w:rPr>
        <w:t>及其他要求</w:t>
      </w:r>
      <w:bookmarkEnd w:id="36"/>
      <w:bookmarkEnd w:id="38"/>
      <w:bookmarkEnd w:id="39"/>
    </w:p>
    <w:p w14:paraId="63BA676E">
      <w:pPr>
        <w:tabs>
          <w:tab w:val="left" w:pos="2310"/>
        </w:tabs>
        <w:spacing w:line="500" w:lineRule="exact"/>
        <w:ind w:right="420" w:rightChars="200" w:firstLine="442" w:firstLineChars="200"/>
        <w:jc w:val="left"/>
        <w:rPr>
          <w:rFonts w:hint="eastAsia" w:ascii="仿宋" w:hAnsi="仿宋" w:eastAsia="仿宋"/>
          <w:b/>
          <w:bCs/>
          <w:color w:val="auto"/>
          <w:sz w:val="22"/>
          <w:szCs w:val="22"/>
          <w:highlight w:val="none"/>
        </w:rPr>
      </w:pPr>
    </w:p>
    <w:p w14:paraId="158B6DB3">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Times New Roman" w:hAnsi="Times New Roman" w:eastAsia="仿宋" w:cs="Times New Roman"/>
          <w:b/>
          <w:bCs/>
          <w:sz w:val="28"/>
          <w:szCs w:val="24"/>
          <w:highlight w:val="none"/>
          <w:lang w:val="en-US" w:eastAsia="zh-CN"/>
        </w:rPr>
      </w:pPr>
      <w:r>
        <w:rPr>
          <w:rFonts w:hint="eastAsia" w:ascii="Times New Roman" w:hAnsi="Times New Roman" w:eastAsia="仿宋" w:cs="Times New Roman"/>
          <w:b/>
          <w:bCs/>
          <w:sz w:val="22"/>
          <w:szCs w:val="22"/>
          <w:highlight w:val="none"/>
          <w:u w:val="none"/>
          <w:lang w:val="en-US" w:eastAsia="zh-CN"/>
        </w:rPr>
        <w:t>前提：本章中标注“★”的条款为实质性要求，未响应或不满足，按无效响应处理；</w:t>
      </w:r>
    </w:p>
    <w:p w14:paraId="703769C1">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zh-CN" w:eastAsia="zh-CN"/>
        </w:rPr>
      </w:pPr>
      <w:r>
        <w:rPr>
          <w:rFonts w:hint="eastAsia" w:ascii="Times New Roman" w:hAnsi="Times New Roman" w:eastAsia="仿宋" w:cs="Times New Roman"/>
          <w:b/>
          <w:bCs/>
          <w:sz w:val="28"/>
          <w:szCs w:val="24"/>
          <w:highlight w:val="none"/>
          <w:lang w:val="zh-CN" w:eastAsia="zh-CN"/>
        </w:rPr>
        <w:t>一、项目概述</w:t>
      </w:r>
    </w:p>
    <w:p w14:paraId="06B284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本项目共计1个采购包，拟确定成交供应商1名。</w:t>
      </w:r>
    </w:p>
    <w:p w14:paraId="07EA0A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为弘扬工匠文化，展示我国铁路发展的成就，打造铁道工程专业文化育人环境，根据校区实际，进行铁道文化建设。</w:t>
      </w:r>
    </w:p>
    <w:p w14:paraId="0E2D83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项目位于成都市技师学院西校区内，第二教学楼图书馆旁，约170㎡。秉承将项目建成为成都工匠文化育人新阵地和文旅新地标的初衷，挖掘工匠文化内涵，弘扬工匠文化精神，传播工业文明，遵循成都工匠文化教育博览园总体策划设计方案造。为提升西校区文化氛围，以国家铁路发展为主线，打造铁道工程专业文化育人环境，根据校区实际，进行铁道文化建设。</w:t>
      </w:r>
    </w:p>
    <w:p w14:paraId="13A715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通过对展馆的氛围布置，展现中国铁路科技创新的新成果和中国铁路的现代化进程，体现铁道工程学院与共和国轨道一起延伸，做新时代“开路先锋”的美好愿景。</w:t>
      </w:r>
    </w:p>
    <w:p w14:paraId="2BA516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auto"/>
          <w:sz w:val="24"/>
          <w:szCs w:val="24"/>
          <w:highlight w:val="none"/>
          <w:u w:val="none"/>
          <w:lang w:val="en-US" w:eastAsia="zh-CN"/>
        </w:rPr>
      </w:pPr>
      <w:r>
        <w:rPr>
          <w:rFonts w:hint="eastAsia" w:ascii="Times New Roman" w:hAnsi="Times New Roman" w:eastAsia="仿宋" w:cs="Times New Roman"/>
          <w:color w:val="auto"/>
          <w:sz w:val="24"/>
          <w:szCs w:val="24"/>
          <w:highlight w:val="none"/>
          <w:u w:val="none"/>
          <w:lang w:val="en-US" w:eastAsia="zh-CN"/>
        </w:rPr>
        <w:t>主要服务内容：设计并打造一个有品质的铁道文化展厅。</w:t>
      </w:r>
    </w:p>
    <w:p w14:paraId="77C45F51">
      <w:pPr>
        <w:jc w:val="center"/>
        <w:rPr>
          <w:rFonts w:hint="eastAsia" w:ascii="仿宋" w:hAnsi="仿宋" w:eastAsia="仿宋" w:cs="仿宋"/>
          <w:color w:val="auto"/>
        </w:rPr>
      </w:pPr>
      <w:r>
        <w:rPr>
          <w:rFonts w:hint="eastAsia" w:ascii="仿宋" w:hAnsi="仿宋" w:eastAsia="仿宋" w:cs="仿宋"/>
          <w:color w:val="auto"/>
          <w:sz w:val="24"/>
        </w:rPr>
        <w:t>铁道文化建设改造区域现状图1</w:t>
      </w:r>
    </w:p>
    <w:p w14:paraId="0AD4E2DF">
      <w:pPr>
        <w:widowControl/>
        <w:spacing w:line="440" w:lineRule="exact"/>
        <w:ind w:firstLine="420" w:firstLineChars="200"/>
        <w:rPr>
          <w:rFonts w:hint="eastAsia" w:ascii="宋体" w:hAnsi="宋体" w:eastAsia="宋体" w:cs="宋体"/>
          <w:b/>
          <w:bCs/>
          <w:color w:val="auto"/>
          <w:sz w:val="28"/>
          <w:szCs w:val="28"/>
        </w:rPr>
      </w:pPr>
      <w:r>
        <w:rPr>
          <w:rFonts w:hint="eastAsia" w:ascii="宋体" w:hAnsi="宋体" w:eastAsia="宋体" w:cs="宋体"/>
          <w:color w:val="auto"/>
        </w:rPr>
        <w:drawing>
          <wp:anchor distT="0" distB="0" distL="114300" distR="114300" simplePos="0" relativeHeight="251659264" behindDoc="0" locked="0" layoutInCell="1" allowOverlap="1">
            <wp:simplePos x="0" y="0"/>
            <wp:positionH relativeFrom="column">
              <wp:posOffset>643890</wp:posOffset>
            </wp:positionH>
            <wp:positionV relativeFrom="paragraph">
              <wp:posOffset>167005</wp:posOffset>
            </wp:positionV>
            <wp:extent cx="4066540" cy="3050540"/>
            <wp:effectExtent l="0" t="0" r="10160" b="16510"/>
            <wp:wrapTopAndBottom/>
            <wp:docPr id="12" name="图片 11" descr="e0aa7a4397a7f8853b183b27a007c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e0aa7a4397a7f8853b183b27a007c4f"/>
                    <pic:cNvPicPr>
                      <a:picLocks noChangeAspect="1"/>
                    </pic:cNvPicPr>
                  </pic:nvPicPr>
                  <pic:blipFill>
                    <a:blip r:embed="rId10"/>
                    <a:stretch>
                      <a:fillRect/>
                    </a:stretch>
                  </pic:blipFill>
                  <pic:spPr>
                    <a:xfrm>
                      <a:off x="0" y="0"/>
                      <a:ext cx="4066540" cy="3050540"/>
                    </a:xfrm>
                    <a:prstGeom prst="rect">
                      <a:avLst/>
                    </a:prstGeom>
                    <a:noFill/>
                    <a:ln>
                      <a:noFill/>
                    </a:ln>
                  </pic:spPr>
                </pic:pic>
              </a:graphicData>
            </a:graphic>
          </wp:anchor>
        </w:drawing>
      </w:r>
    </w:p>
    <w:p w14:paraId="6D65D2AF">
      <w:pPr>
        <w:widowControl/>
        <w:spacing w:line="440" w:lineRule="exact"/>
        <w:ind w:firstLine="562" w:firstLineChars="200"/>
        <w:rPr>
          <w:rFonts w:hint="eastAsia" w:ascii="宋体" w:hAnsi="宋体" w:eastAsia="宋体" w:cs="宋体"/>
          <w:b/>
          <w:bCs/>
          <w:color w:val="auto"/>
          <w:sz w:val="28"/>
          <w:szCs w:val="28"/>
        </w:rPr>
      </w:pPr>
    </w:p>
    <w:p w14:paraId="5D23B379">
      <w:pPr>
        <w:pStyle w:val="9"/>
        <w:numPr>
          <w:ilvl w:val="0"/>
          <w:numId w:val="0"/>
        </w:numPr>
        <w:rPr>
          <w:rFonts w:hint="default"/>
          <w:highlight w:val="none"/>
          <w:lang w:val="en-US" w:eastAsia="zh-CN"/>
        </w:rPr>
      </w:pPr>
    </w:p>
    <w:p w14:paraId="1DEABE70">
      <w:pPr>
        <w:jc w:val="center"/>
        <w:rPr>
          <w:rFonts w:hint="eastAsia" w:ascii="仿宋" w:hAnsi="仿宋" w:eastAsia="仿宋" w:cs="仿宋"/>
          <w:color w:val="auto"/>
        </w:rPr>
      </w:pPr>
      <w:bookmarkStart w:id="40" w:name="_Toc31288"/>
      <w:r>
        <w:rPr>
          <w:rFonts w:hint="eastAsia" w:ascii="仿宋" w:hAnsi="仿宋" w:eastAsia="仿宋" w:cs="仿宋"/>
          <w:color w:val="auto"/>
          <w:sz w:val="24"/>
        </w:rPr>
        <w:t>铁道文化建设改造区域现状图2</w:t>
      </w:r>
    </w:p>
    <w:p w14:paraId="1FD8CFE8">
      <w:pPr>
        <w:autoSpaceDE w:val="0"/>
        <w:autoSpaceDN w:val="0"/>
        <w:spacing w:line="520" w:lineRule="exact"/>
        <w:ind w:firstLine="433" w:firstLineChars="196"/>
        <w:outlineLvl w:val="1"/>
        <w:rPr>
          <w:rFonts w:hint="eastAsia" w:ascii="Times New Roman" w:hAnsi="Times New Roman" w:eastAsia="仿宋" w:cs="Times New Roman"/>
          <w:b/>
          <w:bCs/>
          <w:sz w:val="22"/>
          <w:szCs w:val="22"/>
          <w:highlight w:val="none"/>
          <w:u w:val="none"/>
          <w:lang w:val="en-US" w:eastAsia="zh-CN"/>
        </w:rPr>
      </w:pPr>
    </w:p>
    <w:p w14:paraId="001B6929">
      <w:pPr>
        <w:pStyle w:val="2"/>
        <w:ind w:firstLine="0" w:firstLineChars="0"/>
        <w:jc w:val="center"/>
        <w:rPr>
          <w:rFonts w:hint="eastAsia" w:ascii="仿宋" w:hAnsi="仿宋" w:eastAsia="仿宋" w:cs="仿宋"/>
          <w:b w:val="0"/>
          <w:bCs/>
          <w:color w:val="auto"/>
          <w:sz w:val="28"/>
          <w:szCs w:val="28"/>
        </w:rPr>
      </w:pPr>
      <w:r>
        <w:rPr>
          <w:rFonts w:hint="eastAsia" w:ascii="仿宋" w:hAnsi="仿宋" w:eastAsia="仿宋" w:cs="仿宋"/>
          <w:b w:val="0"/>
          <w:bCs/>
          <w:color w:val="auto"/>
          <w:sz w:val="24"/>
        </w:rPr>
        <w:t>文化改造区域现状图3</w:t>
      </w:r>
    </w:p>
    <w:p w14:paraId="6024FF34">
      <w:pPr>
        <w:autoSpaceDE w:val="0"/>
        <w:autoSpaceDN w:val="0"/>
        <w:spacing w:line="520" w:lineRule="exact"/>
        <w:ind w:firstLine="413" w:firstLineChars="196"/>
        <w:outlineLvl w:val="1"/>
        <w:rPr>
          <w:rFonts w:hint="eastAsia" w:ascii="Times New Roman" w:hAnsi="Times New Roman" w:eastAsia="仿宋" w:cs="Times New Roman"/>
          <w:b/>
          <w:bCs/>
          <w:sz w:val="22"/>
          <w:szCs w:val="22"/>
          <w:highlight w:val="none"/>
          <w:u w:val="none"/>
          <w:lang w:val="en-US" w:eastAsia="zh-CN"/>
        </w:rPr>
      </w:pPr>
      <w:r>
        <w:rPr>
          <w:rFonts w:hint="eastAsia" w:ascii="宋体" w:hAnsi="宋体" w:eastAsia="宋体" w:cs="宋体"/>
          <w:b/>
          <w:bCs/>
          <w:color w:val="auto"/>
        </w:rPr>
        <w:drawing>
          <wp:anchor distT="0" distB="0" distL="114300" distR="114300" simplePos="0" relativeHeight="251663360" behindDoc="0" locked="0" layoutInCell="1" allowOverlap="1">
            <wp:simplePos x="0" y="0"/>
            <wp:positionH relativeFrom="page">
              <wp:posOffset>1472565</wp:posOffset>
            </wp:positionH>
            <wp:positionV relativeFrom="page">
              <wp:posOffset>5710555</wp:posOffset>
            </wp:positionV>
            <wp:extent cx="4392295" cy="3295015"/>
            <wp:effectExtent l="0" t="0" r="8255" b="635"/>
            <wp:wrapTopAndBottom/>
            <wp:docPr id="14" name="图片 13" descr="edce00457c855f3a29bb9195081c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edce00457c855f3a29bb9195081c4b7"/>
                    <pic:cNvPicPr>
                      <a:picLocks noChangeAspect="1"/>
                    </pic:cNvPicPr>
                  </pic:nvPicPr>
                  <pic:blipFill>
                    <a:blip r:embed="rId11"/>
                    <a:stretch>
                      <a:fillRect/>
                    </a:stretch>
                  </pic:blipFill>
                  <pic:spPr>
                    <a:xfrm>
                      <a:off x="0" y="0"/>
                      <a:ext cx="4392295" cy="3295015"/>
                    </a:xfrm>
                    <a:prstGeom prst="rect">
                      <a:avLst/>
                    </a:prstGeom>
                    <a:noFill/>
                    <a:ln>
                      <a:noFill/>
                    </a:ln>
                  </pic:spPr>
                </pic:pic>
              </a:graphicData>
            </a:graphic>
          </wp:anchor>
        </w:drawing>
      </w:r>
      <w:r>
        <w:rPr>
          <w:rFonts w:hint="eastAsia" w:ascii="宋体" w:hAnsi="宋体" w:eastAsia="宋体" w:cs="宋体"/>
          <w:color w:val="auto"/>
        </w:rPr>
        <w:drawing>
          <wp:anchor distT="0" distB="0" distL="114300" distR="114300" simplePos="0" relativeHeight="251661312" behindDoc="0" locked="0" layoutInCell="1" allowOverlap="1">
            <wp:simplePos x="0" y="0"/>
            <wp:positionH relativeFrom="page">
              <wp:posOffset>1444625</wp:posOffset>
            </wp:positionH>
            <wp:positionV relativeFrom="page">
              <wp:posOffset>1306195</wp:posOffset>
            </wp:positionV>
            <wp:extent cx="4496435" cy="3373120"/>
            <wp:effectExtent l="0" t="0" r="18415" b="17780"/>
            <wp:wrapTopAndBottom/>
            <wp:docPr id="13" name="图片 12" descr="602cfdab6c43ab998e0376ba90c0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602cfdab6c43ab998e0376ba90c03dc"/>
                    <pic:cNvPicPr>
                      <a:picLocks noChangeAspect="1"/>
                    </pic:cNvPicPr>
                  </pic:nvPicPr>
                  <pic:blipFill>
                    <a:blip r:embed="rId12"/>
                    <a:stretch>
                      <a:fillRect/>
                    </a:stretch>
                  </pic:blipFill>
                  <pic:spPr>
                    <a:xfrm>
                      <a:off x="0" y="0"/>
                      <a:ext cx="4496435" cy="3373120"/>
                    </a:xfrm>
                    <a:prstGeom prst="rect">
                      <a:avLst/>
                    </a:prstGeom>
                    <a:noFill/>
                    <a:ln>
                      <a:noFill/>
                    </a:ln>
                  </pic:spPr>
                </pic:pic>
              </a:graphicData>
            </a:graphic>
          </wp:anchor>
        </w:drawing>
      </w:r>
    </w:p>
    <w:p w14:paraId="3F255B5B">
      <w:pPr>
        <w:autoSpaceDE w:val="0"/>
        <w:autoSpaceDN w:val="0"/>
        <w:spacing w:line="520" w:lineRule="exact"/>
        <w:ind w:firstLine="433" w:firstLineChars="196"/>
        <w:outlineLvl w:val="1"/>
        <w:rPr>
          <w:rFonts w:hint="eastAsia" w:ascii="Times New Roman" w:hAnsi="Times New Roman" w:eastAsia="仿宋" w:cs="Times New Roman"/>
          <w:b/>
          <w:bCs/>
          <w:sz w:val="22"/>
          <w:szCs w:val="22"/>
          <w:highlight w:val="none"/>
          <w:u w:val="none"/>
          <w:lang w:val="en-US" w:eastAsia="zh-CN"/>
        </w:rPr>
      </w:pPr>
    </w:p>
    <w:p w14:paraId="40A8F90D">
      <w:pPr>
        <w:rPr>
          <w:rFonts w:hint="eastAsia" w:ascii="Times New Roman" w:hAnsi="Times New Roman" w:eastAsia="仿宋" w:cs="Times New Roman"/>
          <w:b/>
          <w:bCs/>
          <w:sz w:val="22"/>
          <w:szCs w:val="22"/>
          <w:highlight w:val="none"/>
          <w:u w:val="none"/>
          <w:lang w:val="en-US" w:eastAsia="zh-CN"/>
        </w:rPr>
      </w:pPr>
      <w:r>
        <w:rPr>
          <w:rFonts w:hint="eastAsia" w:ascii="Times New Roman" w:hAnsi="Times New Roman" w:eastAsia="仿宋" w:cs="Times New Roman"/>
          <w:b/>
          <w:bCs/>
          <w:sz w:val="22"/>
          <w:szCs w:val="22"/>
          <w:highlight w:val="none"/>
          <w:u w:val="none"/>
          <w:lang w:val="en-US" w:eastAsia="zh-CN"/>
        </w:rPr>
        <w:br w:type="page"/>
      </w:r>
    </w:p>
    <w:p w14:paraId="5526F0E1">
      <w:pPr>
        <w:autoSpaceDE w:val="0"/>
        <w:autoSpaceDN w:val="0"/>
        <w:spacing w:line="520" w:lineRule="exact"/>
        <w:ind w:firstLine="433" w:firstLineChars="196"/>
        <w:outlineLvl w:val="1"/>
        <w:rPr>
          <w:rFonts w:hint="eastAsia" w:ascii="Times New Roman" w:hAnsi="Times New Roman" w:eastAsia="仿宋" w:cs="Times New Roman"/>
          <w:b/>
          <w:bCs/>
          <w:sz w:val="22"/>
          <w:szCs w:val="22"/>
          <w:highlight w:val="none"/>
          <w:u w:val="none"/>
          <w:lang w:val="en-US" w:eastAsia="zh-CN"/>
        </w:rPr>
        <w:sectPr>
          <w:headerReference r:id="rId6" w:type="default"/>
          <w:footerReference r:id="rId7" w:type="default"/>
          <w:pgSz w:w="11906" w:h="16838"/>
          <w:pgMar w:top="1440" w:right="1474" w:bottom="1440" w:left="1474" w:header="851" w:footer="992" w:gutter="0"/>
          <w:pgNumType w:fmt="decimal" w:start="1"/>
          <w:cols w:space="0" w:num="1"/>
          <w:rtlGutter w:val="0"/>
          <w:docGrid w:type="lines" w:linePitch="312" w:charSpace="0"/>
        </w:sectPr>
      </w:pPr>
    </w:p>
    <w:p w14:paraId="6A8C8B96">
      <w:pPr>
        <w:autoSpaceDE w:val="0"/>
        <w:autoSpaceDN w:val="0"/>
        <w:spacing w:line="520" w:lineRule="exact"/>
        <w:ind w:firstLine="411" w:firstLineChars="196"/>
        <w:outlineLvl w:val="1"/>
        <w:rPr>
          <w:rFonts w:hint="eastAsia" w:ascii="Times New Roman" w:hAnsi="Times New Roman" w:eastAsia="仿宋" w:cs="Times New Roman"/>
          <w:b/>
          <w:bCs/>
          <w:sz w:val="22"/>
          <w:szCs w:val="22"/>
          <w:highlight w:val="none"/>
          <w:u w:val="none"/>
          <w:lang w:val="en-US" w:eastAsia="zh-CN"/>
        </w:rPr>
        <w:sectPr>
          <w:pgSz w:w="11906" w:h="16838"/>
          <w:pgMar w:top="1440" w:right="1474" w:bottom="1440" w:left="1474" w:header="851" w:footer="992" w:gutter="0"/>
          <w:pgNumType w:fmt="decimal"/>
          <w:cols w:space="0" w:num="1"/>
          <w:rtlGutter w:val="0"/>
          <w:docGrid w:type="lines" w:linePitch="312" w:charSpace="0"/>
        </w:sectPr>
      </w:pPr>
      <w:r>
        <w:rPr>
          <w:rFonts w:hint="eastAsia" w:ascii="宋体" w:hAnsi="宋体" w:eastAsia="宋体" w:cs="宋体"/>
          <w:color w:val="auto"/>
        </w:rPr>
        <w:drawing>
          <wp:anchor distT="0" distB="0" distL="114300" distR="114300" simplePos="0" relativeHeight="251664384" behindDoc="0" locked="0" layoutInCell="1" allowOverlap="1">
            <wp:simplePos x="0" y="0"/>
            <wp:positionH relativeFrom="column">
              <wp:posOffset>715010</wp:posOffset>
            </wp:positionH>
            <wp:positionV relativeFrom="paragraph">
              <wp:posOffset>113665</wp:posOffset>
            </wp:positionV>
            <wp:extent cx="3876675" cy="8477250"/>
            <wp:effectExtent l="0" t="0" r="9525" b="0"/>
            <wp:wrapNone/>
            <wp:docPr id="16" name="图片 15" descr="3ce3629e4cc0c0e2cf654214b4e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3ce3629e4cc0c0e2cf654214b4e9279"/>
                    <pic:cNvPicPr>
                      <a:picLocks noChangeAspect="1"/>
                    </pic:cNvPicPr>
                  </pic:nvPicPr>
                  <pic:blipFill>
                    <a:blip r:embed="rId13"/>
                    <a:stretch>
                      <a:fillRect/>
                    </a:stretch>
                  </pic:blipFill>
                  <pic:spPr>
                    <a:xfrm>
                      <a:off x="0" y="0"/>
                      <a:ext cx="3876675" cy="8477250"/>
                    </a:xfrm>
                    <a:prstGeom prst="rect">
                      <a:avLst/>
                    </a:prstGeom>
                    <a:noFill/>
                    <a:ln>
                      <a:noFill/>
                    </a:ln>
                  </pic:spPr>
                </pic:pic>
              </a:graphicData>
            </a:graphic>
          </wp:anchor>
        </w:drawing>
      </w:r>
    </w:p>
    <w:p w14:paraId="2D74DC86">
      <w:pPr>
        <w:autoSpaceDE w:val="0"/>
        <w:autoSpaceDN w:val="0"/>
        <w:spacing w:line="520" w:lineRule="exact"/>
        <w:ind w:firstLine="433" w:firstLineChars="196"/>
        <w:outlineLvl w:val="1"/>
        <w:rPr>
          <w:rFonts w:hint="default" w:ascii="Times New Roman" w:hAnsi="Times New Roman" w:eastAsia="仿宋" w:cs="Times New Roman"/>
          <w:b/>
          <w:bCs/>
          <w:sz w:val="28"/>
          <w:szCs w:val="24"/>
          <w:highlight w:val="none"/>
          <w:lang w:val="en-US" w:eastAsia="zh-CN"/>
        </w:rPr>
      </w:pPr>
      <w:r>
        <w:rPr>
          <w:rFonts w:hint="eastAsia" w:ascii="Times New Roman" w:hAnsi="Times New Roman" w:eastAsia="仿宋" w:cs="Times New Roman"/>
          <w:b/>
          <w:bCs/>
          <w:sz w:val="22"/>
          <w:szCs w:val="22"/>
          <w:highlight w:val="none"/>
          <w:u w:val="none"/>
          <w:lang w:val="en-US" w:eastAsia="zh-CN"/>
        </w:rPr>
        <w:t>★</w:t>
      </w:r>
      <w:r>
        <w:rPr>
          <w:rFonts w:hint="eastAsia" w:ascii="Times New Roman" w:hAnsi="Times New Roman" w:eastAsia="仿宋" w:cs="Times New Roman"/>
          <w:b/>
          <w:bCs/>
          <w:sz w:val="28"/>
          <w:szCs w:val="24"/>
          <w:highlight w:val="none"/>
          <w:lang w:val="en-US" w:eastAsia="zh-CN"/>
        </w:rPr>
        <w:t>二</w:t>
      </w:r>
      <w:r>
        <w:rPr>
          <w:rFonts w:hint="eastAsia" w:ascii="Times New Roman" w:hAnsi="Times New Roman" w:eastAsia="仿宋" w:cs="Times New Roman"/>
          <w:b/>
          <w:bCs/>
          <w:sz w:val="28"/>
          <w:szCs w:val="24"/>
          <w:highlight w:val="none"/>
          <w:lang w:val="zh-CN" w:eastAsia="zh-CN"/>
        </w:rPr>
        <w:t>、</w:t>
      </w:r>
      <w:r>
        <w:rPr>
          <w:rFonts w:hint="eastAsia" w:ascii="Times New Roman" w:hAnsi="Times New Roman" w:eastAsia="仿宋" w:cs="Times New Roman"/>
          <w:b/>
          <w:bCs/>
          <w:sz w:val="28"/>
          <w:szCs w:val="24"/>
          <w:highlight w:val="none"/>
          <w:lang w:val="en-US" w:eastAsia="zh-CN"/>
        </w:rPr>
        <w:t>服务内容要求</w:t>
      </w:r>
    </w:p>
    <w:tbl>
      <w:tblPr>
        <w:tblStyle w:val="24"/>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695"/>
        <w:gridCol w:w="1596"/>
        <w:gridCol w:w="5659"/>
      </w:tblGrid>
      <w:tr w14:paraId="4EE8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77" w:type="dxa"/>
            <w:noWrap w:val="0"/>
            <w:vAlign w:val="center"/>
          </w:tcPr>
          <w:p w14:paraId="136220BA">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
                <w:color w:val="auto"/>
                <w:sz w:val="24"/>
                <w:szCs w:val="24"/>
              </w:rPr>
              <w:t>包号</w:t>
            </w:r>
          </w:p>
        </w:tc>
        <w:tc>
          <w:tcPr>
            <w:tcW w:w="695" w:type="dxa"/>
            <w:noWrap w:val="0"/>
            <w:vAlign w:val="center"/>
          </w:tcPr>
          <w:p w14:paraId="5BD2DF13">
            <w:pPr>
              <w:adjustRightInd w:val="0"/>
              <w:snapToGrid w:val="0"/>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596" w:type="dxa"/>
            <w:noWrap w:val="0"/>
            <w:vAlign w:val="center"/>
          </w:tcPr>
          <w:p w14:paraId="647B46DB">
            <w:pPr>
              <w:adjustRightInd w:val="0"/>
              <w:snapToGrid w:val="0"/>
              <w:spacing w:line="28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标的名称</w:t>
            </w:r>
          </w:p>
        </w:tc>
        <w:tc>
          <w:tcPr>
            <w:tcW w:w="5659" w:type="dxa"/>
            <w:noWrap w:val="0"/>
            <w:vAlign w:val="top"/>
          </w:tcPr>
          <w:p w14:paraId="0E7409BF">
            <w:pPr>
              <w:adjustRightInd w:val="0"/>
              <w:snapToGrid w:val="0"/>
              <w:spacing w:line="280" w:lineRule="exact"/>
              <w:jc w:val="center"/>
              <w:rPr>
                <w:rFonts w:hint="eastAsia" w:ascii="仿宋" w:hAnsi="仿宋" w:eastAsia="仿宋" w:cs="仿宋"/>
                <w:color w:val="auto"/>
                <w:sz w:val="24"/>
                <w:szCs w:val="24"/>
              </w:rPr>
            </w:pPr>
            <w:r>
              <w:rPr>
                <w:rFonts w:hint="eastAsia" w:ascii="仿宋" w:hAnsi="仿宋" w:eastAsia="仿宋" w:cs="仿宋"/>
                <w:b/>
                <w:color w:val="auto"/>
                <w:sz w:val="24"/>
                <w:szCs w:val="24"/>
              </w:rPr>
              <w:t>服务内容及要求</w:t>
            </w:r>
          </w:p>
        </w:tc>
      </w:tr>
      <w:tr w14:paraId="0331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3DC6E057">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570BCA55">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596" w:type="dxa"/>
            <w:noWrap w:val="0"/>
            <w:vAlign w:val="top"/>
          </w:tcPr>
          <w:p w14:paraId="368DB903">
            <w:pPr>
              <w:adjustRightInd w:val="0"/>
              <w:snapToGrid w:val="0"/>
              <w:spacing w:line="280" w:lineRule="exact"/>
              <w:jc w:val="center"/>
              <w:rPr>
                <w:rFonts w:hint="eastAsia" w:ascii="仿宋" w:hAnsi="仿宋" w:eastAsia="仿宋" w:cs="仿宋"/>
                <w:color w:val="auto"/>
                <w:sz w:val="24"/>
                <w:szCs w:val="24"/>
              </w:rPr>
            </w:pPr>
          </w:p>
          <w:p w14:paraId="2418DFDF">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设置铁道展厅介绍</w:t>
            </w:r>
          </w:p>
        </w:tc>
        <w:tc>
          <w:tcPr>
            <w:tcW w:w="5659" w:type="dxa"/>
            <w:noWrap w:val="0"/>
            <w:vAlign w:val="top"/>
          </w:tcPr>
          <w:p w14:paraId="7BD3D697">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墙面乳胶漆加图文并用的形式，再加上灯光的点缀完整的对展厅进行介绍和叙述。材质工艺要求：包含且不限于PVC、亚克力、宣绒布等，亚克力和PVC厚度≥2cm，文化墙面积≥15㎡。</w:t>
            </w:r>
          </w:p>
          <w:p w14:paraId="59F86FA8">
            <w:pPr>
              <w:adjustRightInd w:val="0"/>
              <w:snapToGrid w:val="0"/>
              <w:spacing w:line="280" w:lineRule="exact"/>
              <w:jc w:val="center"/>
              <w:rPr>
                <w:rFonts w:hint="eastAsia" w:ascii="仿宋" w:hAnsi="仿宋" w:eastAsia="仿宋" w:cs="仿宋"/>
                <w:bCs/>
                <w:color w:val="auto"/>
                <w:sz w:val="24"/>
                <w:szCs w:val="24"/>
              </w:rPr>
            </w:pPr>
          </w:p>
        </w:tc>
      </w:tr>
      <w:tr w14:paraId="46F6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510632F7">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15D3040E">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596" w:type="dxa"/>
            <w:noWrap w:val="0"/>
            <w:vAlign w:val="top"/>
          </w:tcPr>
          <w:p w14:paraId="3D86DB19">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设置铁道发展历史介绍</w:t>
            </w:r>
          </w:p>
        </w:tc>
        <w:tc>
          <w:tcPr>
            <w:tcW w:w="5659" w:type="dxa"/>
            <w:noWrap w:val="0"/>
            <w:vAlign w:val="top"/>
          </w:tcPr>
          <w:p w14:paraId="63F0D301">
            <w:pPr>
              <w:widowControl/>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充分运用墙面艺术造型加上灯带和射灯等装饰，再结合图文、多媒体等对铁道发展历史进行介绍和叙述。要求画面层次错落有序，整体效果规整切不显呆板，色彩运用搭配和谐。材质工艺要求：包含且不限于阻燃板、石膏板、LED灯带、PVC、亚克力、宣绒布等，亚克力和PVC厚度≥2cm，文化墙面积≥20㎡，灯带≥30m。</w:t>
            </w:r>
          </w:p>
          <w:p w14:paraId="578F9A69">
            <w:pPr>
              <w:adjustRightInd w:val="0"/>
              <w:snapToGrid w:val="0"/>
              <w:spacing w:line="280" w:lineRule="exact"/>
              <w:jc w:val="both"/>
              <w:rPr>
                <w:rFonts w:hint="eastAsia" w:ascii="仿宋" w:hAnsi="仿宋" w:eastAsia="仿宋" w:cs="仿宋"/>
                <w:bCs/>
                <w:color w:val="auto"/>
                <w:sz w:val="24"/>
                <w:szCs w:val="24"/>
              </w:rPr>
            </w:pPr>
          </w:p>
        </w:tc>
      </w:tr>
      <w:tr w14:paraId="0E2B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651EF7CE">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2241E0AB">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596" w:type="dxa"/>
            <w:noWrap w:val="0"/>
            <w:vAlign w:val="top"/>
          </w:tcPr>
          <w:p w14:paraId="31BB5BB6">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设置铁道专业发展介绍</w:t>
            </w:r>
          </w:p>
        </w:tc>
        <w:tc>
          <w:tcPr>
            <w:tcW w:w="5659" w:type="dxa"/>
            <w:noWrap w:val="0"/>
            <w:vAlign w:val="top"/>
          </w:tcPr>
          <w:p w14:paraId="55AAC20C">
            <w:pPr>
              <w:widowControl/>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墙面艺术造型加上灯带和射灯等装饰，再结合图文、多媒体等对铁道专业发展进行介绍和叙述。要求整体布局灵活多样，艺术造型丰富、灯光搭配合理，色彩运用搭配统一、和谐。材质工艺要求：包含且不限于阻燃板、石膏板、LED灯带、射灯、PVC、亚克力、宣绒布等，灯带不少于50米，60w欧普照明射灯不低于20盏，亚克力和PVC厚度≥2cm，文化墙面积≥50㎡。</w:t>
            </w:r>
          </w:p>
          <w:p w14:paraId="6039D5BA">
            <w:pPr>
              <w:adjustRightInd w:val="0"/>
              <w:snapToGrid w:val="0"/>
              <w:spacing w:line="280" w:lineRule="exact"/>
              <w:jc w:val="center"/>
              <w:rPr>
                <w:rFonts w:hint="eastAsia" w:ascii="仿宋" w:hAnsi="仿宋" w:eastAsia="仿宋" w:cs="仿宋"/>
                <w:bCs/>
                <w:color w:val="auto"/>
                <w:sz w:val="24"/>
                <w:szCs w:val="24"/>
              </w:rPr>
            </w:pPr>
          </w:p>
        </w:tc>
      </w:tr>
      <w:tr w14:paraId="6145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77" w:type="dxa"/>
            <w:noWrap w:val="0"/>
            <w:vAlign w:val="center"/>
          </w:tcPr>
          <w:p w14:paraId="5C620E0E">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5ACC05EC">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596" w:type="dxa"/>
            <w:noWrap w:val="0"/>
            <w:vAlign w:val="top"/>
          </w:tcPr>
          <w:p w14:paraId="58D9ED9D">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设置铁道相关专业技能竞赛获奖荣誉展架</w:t>
            </w:r>
          </w:p>
        </w:tc>
        <w:tc>
          <w:tcPr>
            <w:tcW w:w="5659" w:type="dxa"/>
            <w:noWrap w:val="0"/>
            <w:vAlign w:val="top"/>
          </w:tcPr>
          <w:p w14:paraId="7E815F57">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墙面艺术造型+灯光点缀，再结合相关获奖成果展示。材质工艺要求：包含且不限于阻燃板、石膏板、LED灯带、PVC、亚克力、宣绒布、PE材质、镀锌板、拉丝不锈钢相结合的方式呈现等，亚克力和PVC厚度≥2cm，灯带≥30m，60w欧普照明射灯≥10盏，文化墙面积≥15㎡。</w:t>
            </w:r>
          </w:p>
        </w:tc>
      </w:tr>
      <w:tr w14:paraId="6297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4829EA52">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4EAAF973">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5</w:t>
            </w:r>
          </w:p>
        </w:tc>
        <w:tc>
          <w:tcPr>
            <w:tcW w:w="1596" w:type="dxa"/>
            <w:noWrap w:val="0"/>
            <w:vAlign w:val="top"/>
          </w:tcPr>
          <w:p w14:paraId="1412868E">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设置铁道专业优秀学生展示区</w:t>
            </w:r>
          </w:p>
        </w:tc>
        <w:tc>
          <w:tcPr>
            <w:tcW w:w="5659" w:type="dxa"/>
            <w:noWrap w:val="0"/>
            <w:vAlign w:val="top"/>
          </w:tcPr>
          <w:p w14:paraId="554F2426">
            <w:pPr>
              <w:widowControl/>
              <w:spacing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用隔断形式进行展示，布局灵活各空间连接紧密。材质工艺要求：包含且不限于阻燃板、石膏板、LED灯带、PVC、亚克力、宣绒布、PE材质相结合的方式呈现等，亚克力和PVC厚度≥2cm，灯带≥30m，60w欧普照明射灯≥20盏，文化墙高度≥2m，面积≥50㎡。</w:t>
            </w:r>
          </w:p>
          <w:p w14:paraId="56A8625A">
            <w:pPr>
              <w:adjustRightInd w:val="0"/>
              <w:snapToGrid w:val="0"/>
              <w:spacing w:line="280" w:lineRule="exact"/>
              <w:jc w:val="center"/>
              <w:rPr>
                <w:rFonts w:hint="eastAsia" w:ascii="仿宋" w:hAnsi="仿宋" w:eastAsia="仿宋" w:cs="仿宋"/>
                <w:bCs/>
                <w:color w:val="auto"/>
                <w:sz w:val="24"/>
                <w:szCs w:val="24"/>
              </w:rPr>
            </w:pPr>
          </w:p>
        </w:tc>
      </w:tr>
      <w:tr w14:paraId="07DD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51C4970B">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526EDF95">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6</w:t>
            </w:r>
          </w:p>
        </w:tc>
        <w:tc>
          <w:tcPr>
            <w:tcW w:w="1596" w:type="dxa"/>
            <w:noWrap w:val="0"/>
            <w:vAlign w:val="top"/>
          </w:tcPr>
          <w:p w14:paraId="598A059B">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设置物品展示区</w:t>
            </w:r>
          </w:p>
        </w:tc>
        <w:tc>
          <w:tcPr>
            <w:tcW w:w="5659" w:type="dxa"/>
            <w:noWrap w:val="0"/>
            <w:vAlign w:val="top"/>
          </w:tcPr>
          <w:p w14:paraId="6D6F9FF3">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color w:val="auto"/>
                <w:sz w:val="24"/>
                <w:szCs w:val="24"/>
              </w:rPr>
              <w:t>充分考虑采光以及展示区的艺术性，要有起伏错落等视觉冲击。材质工艺要求：包含且不限于烤漆板与灯带结合等展示柜板材厚度≥2.5cm，高度≥1m，面积不≥12㎡，承重每米≥100kg。</w:t>
            </w:r>
          </w:p>
        </w:tc>
      </w:tr>
      <w:tr w14:paraId="700C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77" w:type="dxa"/>
            <w:noWrap w:val="0"/>
            <w:vAlign w:val="center"/>
          </w:tcPr>
          <w:p w14:paraId="498ED17B">
            <w:pPr>
              <w:adjustRightInd w:val="0"/>
              <w:snapToGrid w:val="0"/>
              <w:spacing w:line="280" w:lineRule="exact"/>
              <w:jc w:val="center"/>
              <w:rPr>
                <w:rFonts w:hint="eastAsia" w:ascii="仿宋" w:hAnsi="仿宋" w:eastAsia="仿宋" w:cs="仿宋"/>
                <w:bCs/>
                <w:color w:val="auto"/>
                <w:sz w:val="24"/>
                <w:szCs w:val="24"/>
              </w:rPr>
            </w:pPr>
          </w:p>
        </w:tc>
        <w:tc>
          <w:tcPr>
            <w:tcW w:w="695" w:type="dxa"/>
            <w:noWrap w:val="0"/>
            <w:vAlign w:val="top"/>
          </w:tcPr>
          <w:p w14:paraId="109F711A">
            <w:pPr>
              <w:adjustRightInd w:val="0"/>
              <w:snapToGrid w:val="0"/>
              <w:spacing w:line="28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7</w:t>
            </w:r>
          </w:p>
        </w:tc>
        <w:tc>
          <w:tcPr>
            <w:tcW w:w="1596" w:type="dxa"/>
            <w:noWrap w:val="0"/>
            <w:vAlign w:val="top"/>
          </w:tcPr>
          <w:p w14:paraId="4717FD32">
            <w:pPr>
              <w:widowControl/>
              <w:spacing w:line="440" w:lineRule="exact"/>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设计原则</w:t>
            </w:r>
          </w:p>
          <w:p w14:paraId="0B1E45FD">
            <w:pPr>
              <w:adjustRightInd w:val="0"/>
              <w:snapToGrid w:val="0"/>
              <w:spacing w:line="280" w:lineRule="exact"/>
              <w:jc w:val="center"/>
              <w:rPr>
                <w:rFonts w:hint="eastAsia" w:ascii="仿宋" w:hAnsi="仿宋" w:eastAsia="仿宋" w:cs="仿宋"/>
                <w:color w:val="auto"/>
                <w:sz w:val="24"/>
                <w:szCs w:val="24"/>
              </w:rPr>
            </w:pPr>
          </w:p>
        </w:tc>
        <w:tc>
          <w:tcPr>
            <w:tcW w:w="5659" w:type="dxa"/>
            <w:noWrap w:val="0"/>
            <w:vAlign w:val="top"/>
          </w:tcPr>
          <w:p w14:paraId="447B1345">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 主题鲜明。空间设计与展示主题要紧密结合，力求主题鲜明，避免雷同。</w:t>
            </w:r>
          </w:p>
          <w:p w14:paraId="12923B95">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(2) 构思新颖。要将内容完美融入现有构造布局中，并创意性设置各个功能区域。</w:t>
            </w:r>
          </w:p>
          <w:p w14:paraId="7266B272">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(3) 方式多样。布展要新颖别致，展示层次分明，重点突出。</w:t>
            </w:r>
          </w:p>
          <w:p w14:paraId="07BFDA0F">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(4) 灵活易动。科学设置表现形式，结合展示区域近远期发展，充分考虑展示内容的固定性和可变性。</w:t>
            </w:r>
          </w:p>
          <w:p w14:paraId="5B84428C">
            <w:pPr>
              <w:widowControl/>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(5) 经济实用。坚持高质量、高水平、精致大气、经济实用原则。应在充分考虑社会效益的基础上兼顾设计与展品制作维护。</w:t>
            </w:r>
          </w:p>
          <w:p w14:paraId="08AF4B8C">
            <w:pPr>
              <w:adjustRightInd w:val="0"/>
              <w:snapToGrid w:val="0"/>
              <w:spacing w:line="280" w:lineRule="exact"/>
              <w:jc w:val="center"/>
              <w:rPr>
                <w:rFonts w:hint="eastAsia" w:ascii="仿宋" w:hAnsi="仿宋" w:eastAsia="仿宋" w:cs="仿宋"/>
                <w:color w:val="auto"/>
                <w:sz w:val="24"/>
                <w:szCs w:val="24"/>
              </w:rPr>
            </w:pPr>
          </w:p>
        </w:tc>
      </w:tr>
    </w:tbl>
    <w:p w14:paraId="4A7BB0C6">
      <w:pPr>
        <w:autoSpaceDE w:val="0"/>
        <w:autoSpaceDN w:val="0"/>
        <w:spacing w:line="520" w:lineRule="exact"/>
        <w:ind w:firstLine="551" w:firstLineChars="196"/>
        <w:outlineLvl w:val="1"/>
        <w:rPr>
          <w:rFonts w:hint="eastAsia" w:ascii="Times New Roman" w:hAnsi="Times New Roman" w:eastAsia="仿宋" w:cs="Times New Roman"/>
          <w:b/>
          <w:bCs/>
          <w:sz w:val="28"/>
          <w:szCs w:val="24"/>
          <w:highlight w:val="none"/>
          <w:lang w:val="zh-CN" w:eastAsia="zh-CN"/>
        </w:rPr>
      </w:pPr>
      <w:r>
        <w:rPr>
          <w:rFonts w:hint="eastAsia" w:ascii="Times New Roman" w:hAnsi="Times New Roman" w:eastAsia="仿宋" w:cs="Times New Roman"/>
          <w:b/>
          <w:bCs/>
          <w:sz w:val="28"/>
          <w:szCs w:val="24"/>
          <w:highlight w:val="none"/>
          <w:lang w:val="en-US" w:eastAsia="zh-CN"/>
        </w:rPr>
        <w:t>三</w:t>
      </w:r>
      <w:r>
        <w:rPr>
          <w:rFonts w:hint="eastAsia" w:ascii="Times New Roman" w:hAnsi="Times New Roman" w:eastAsia="仿宋" w:cs="Times New Roman"/>
          <w:b/>
          <w:bCs/>
          <w:sz w:val="28"/>
          <w:szCs w:val="24"/>
          <w:highlight w:val="none"/>
          <w:lang w:val="zh-CN" w:eastAsia="zh-CN"/>
        </w:rPr>
        <w:t>、商务要求（</w:t>
      </w:r>
      <w:r>
        <w:rPr>
          <w:rFonts w:hint="eastAsia" w:ascii="Times New Roman" w:hAnsi="Times New Roman" w:eastAsia="仿宋" w:cs="Times New Roman"/>
          <w:b/>
          <w:bCs/>
          <w:sz w:val="28"/>
          <w:szCs w:val="24"/>
          <w:highlight w:val="none"/>
          <w:lang w:val="en-US" w:eastAsia="zh-CN"/>
        </w:rPr>
        <w:t>实质性要求</w:t>
      </w:r>
      <w:r>
        <w:rPr>
          <w:rFonts w:hint="eastAsia" w:ascii="Times New Roman" w:hAnsi="Times New Roman" w:eastAsia="仿宋" w:cs="Times New Roman"/>
          <w:b/>
          <w:bCs/>
          <w:sz w:val="28"/>
          <w:szCs w:val="24"/>
          <w:highlight w:val="none"/>
          <w:lang w:val="zh-CN" w:eastAsia="zh-CN"/>
        </w:rPr>
        <w:t>）</w:t>
      </w:r>
    </w:p>
    <w:tbl>
      <w:tblPr>
        <w:tblStyle w:val="24"/>
        <w:tblW w:w="51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579"/>
        <w:gridCol w:w="1881"/>
        <w:gridCol w:w="6765"/>
      </w:tblGrid>
      <w:tr w14:paraId="7226A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030EF300">
            <w:pPr>
              <w:pStyle w:val="44"/>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序号</w:t>
            </w:r>
          </w:p>
        </w:tc>
        <w:tc>
          <w:tcPr>
            <w:tcW w:w="1019" w:type="pct"/>
            <w:vAlign w:val="center"/>
          </w:tcPr>
          <w:p w14:paraId="3E709F34">
            <w:pPr>
              <w:pStyle w:val="44"/>
              <w:spacing w:line="300" w:lineRule="auto"/>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内容</w:t>
            </w:r>
          </w:p>
        </w:tc>
        <w:tc>
          <w:tcPr>
            <w:tcW w:w="3665" w:type="pct"/>
            <w:vAlign w:val="center"/>
          </w:tcPr>
          <w:p w14:paraId="38442C35">
            <w:pPr>
              <w:pStyle w:val="44"/>
              <w:spacing w:line="300" w:lineRule="auto"/>
              <w:ind w:left="210" w:leftChars="100"/>
              <w:jc w:val="center"/>
              <w:rPr>
                <w:rFonts w:ascii="Times New Roman" w:hAnsi="Times New Roman" w:eastAsia="仿宋" w:cs="Times New Roman"/>
                <w:b/>
                <w:sz w:val="22"/>
                <w:szCs w:val="22"/>
                <w:highlight w:val="none"/>
                <w:lang w:val="zh-CN"/>
              </w:rPr>
            </w:pPr>
            <w:r>
              <w:rPr>
                <w:rFonts w:ascii="Times New Roman" w:hAnsi="Times New Roman" w:eastAsia="仿宋" w:cs="Times New Roman"/>
                <w:b/>
                <w:sz w:val="22"/>
                <w:szCs w:val="22"/>
                <w:highlight w:val="none"/>
                <w:lang w:val="zh-CN"/>
              </w:rPr>
              <w:t>要求</w:t>
            </w:r>
          </w:p>
        </w:tc>
      </w:tr>
      <w:tr w14:paraId="05AA4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9" w:hRule="atLeast"/>
          <w:jc w:val="center"/>
        </w:trPr>
        <w:tc>
          <w:tcPr>
            <w:tcW w:w="314" w:type="pct"/>
            <w:vAlign w:val="center"/>
          </w:tcPr>
          <w:p w14:paraId="5FBBE14A">
            <w:pPr>
              <w:pStyle w:val="44"/>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1</w:t>
            </w:r>
          </w:p>
        </w:tc>
        <w:tc>
          <w:tcPr>
            <w:tcW w:w="1019" w:type="pct"/>
            <w:vAlign w:val="center"/>
          </w:tcPr>
          <w:p w14:paraId="5A225C0E">
            <w:pPr>
              <w:pStyle w:val="44"/>
              <w:spacing w:line="300" w:lineRule="auto"/>
              <w:jc w:val="center"/>
              <w:rPr>
                <w:rFonts w:hint="eastAsia"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服务期</w:t>
            </w:r>
          </w:p>
        </w:tc>
        <w:tc>
          <w:tcPr>
            <w:tcW w:w="3665" w:type="pct"/>
            <w:vAlign w:val="center"/>
          </w:tcPr>
          <w:p w14:paraId="5D67F104">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1.合同签订之日起120日历天内, 供应商在采购人指定地点完成所有布展服务工作。</w:t>
            </w:r>
          </w:p>
          <w:p w14:paraId="41607B84">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2.中标后25个日历天内完成深化设计，并通过采购人审定。</w:t>
            </w:r>
          </w:p>
          <w:p w14:paraId="7BD3F298">
            <w:pPr>
              <w:pStyle w:val="44"/>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en-US" w:eastAsia="zh-CN"/>
              </w:rPr>
              <w:t>3.售后服务期为3年，售后服务期的起始日期为采购人验收合格之日起开始计算。</w:t>
            </w:r>
          </w:p>
        </w:tc>
      </w:tr>
      <w:tr w14:paraId="70FDCA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75" w:hRule="atLeast"/>
          <w:jc w:val="center"/>
        </w:trPr>
        <w:tc>
          <w:tcPr>
            <w:tcW w:w="314" w:type="pct"/>
            <w:vAlign w:val="center"/>
          </w:tcPr>
          <w:p w14:paraId="2A568835">
            <w:pPr>
              <w:pStyle w:val="44"/>
              <w:spacing w:line="300" w:lineRule="auto"/>
              <w:jc w:val="center"/>
              <w:rPr>
                <w:rFonts w:ascii="Times New Roman" w:hAnsi="Times New Roman" w:eastAsia="仿宋" w:cs="Times New Roman"/>
                <w:b w:val="0"/>
                <w:bCs w:val="0"/>
                <w:sz w:val="22"/>
                <w:szCs w:val="22"/>
                <w:highlight w:val="none"/>
                <w:lang w:val="zh-CN"/>
              </w:rPr>
            </w:pPr>
            <w:r>
              <w:rPr>
                <w:rFonts w:ascii="Times New Roman" w:hAnsi="Times New Roman" w:eastAsia="仿宋" w:cs="Times New Roman"/>
                <w:b w:val="0"/>
                <w:bCs w:val="0"/>
                <w:sz w:val="22"/>
                <w:szCs w:val="22"/>
                <w:highlight w:val="none"/>
                <w:lang w:val="zh-CN"/>
              </w:rPr>
              <w:t>2</w:t>
            </w:r>
          </w:p>
        </w:tc>
        <w:tc>
          <w:tcPr>
            <w:tcW w:w="1019" w:type="pct"/>
            <w:vAlign w:val="center"/>
          </w:tcPr>
          <w:p w14:paraId="00B519AF">
            <w:pPr>
              <w:pStyle w:val="44"/>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服务</w:t>
            </w:r>
            <w:r>
              <w:rPr>
                <w:rFonts w:ascii="Times New Roman" w:hAnsi="Times New Roman" w:eastAsia="仿宋" w:cs="Times New Roman"/>
                <w:b w:val="0"/>
                <w:bCs w:val="0"/>
                <w:sz w:val="22"/>
                <w:szCs w:val="22"/>
                <w:highlight w:val="none"/>
                <w:lang w:val="zh-CN"/>
              </w:rPr>
              <w:t>地点</w:t>
            </w:r>
          </w:p>
        </w:tc>
        <w:tc>
          <w:tcPr>
            <w:tcW w:w="3665" w:type="pct"/>
            <w:vAlign w:val="center"/>
          </w:tcPr>
          <w:p w14:paraId="701F21D5">
            <w:pPr>
              <w:pStyle w:val="44"/>
              <w:spacing w:line="300" w:lineRule="auto"/>
              <w:ind w:left="210" w:leftChars="100"/>
              <w:jc w:val="both"/>
              <w:rPr>
                <w:rFonts w:hint="eastAsia" w:ascii="Times New Roman" w:hAnsi="Times New Roman" w:eastAsia="仿宋" w:cs="Times New Roman"/>
                <w:sz w:val="22"/>
                <w:szCs w:val="22"/>
                <w:highlight w:val="none"/>
                <w:lang w:val="zh-CN" w:eastAsia="zh-CN"/>
              </w:rPr>
            </w:pPr>
            <w:r>
              <w:rPr>
                <w:rFonts w:hint="eastAsia" w:ascii="Times New Roman" w:hAnsi="Times New Roman" w:eastAsia="仿宋" w:cs="Times New Roman"/>
                <w:sz w:val="22"/>
                <w:szCs w:val="22"/>
                <w:highlight w:val="none"/>
                <w:lang w:val="zh-CN" w:eastAsia="zh-CN"/>
              </w:rPr>
              <w:t>成都市郫都区红光街道高店路1666号</w:t>
            </w:r>
          </w:p>
        </w:tc>
      </w:tr>
      <w:tr w14:paraId="34199B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85" w:hRule="atLeast"/>
          <w:jc w:val="center"/>
        </w:trPr>
        <w:tc>
          <w:tcPr>
            <w:tcW w:w="314" w:type="pct"/>
            <w:vAlign w:val="center"/>
          </w:tcPr>
          <w:p w14:paraId="251599F2">
            <w:pPr>
              <w:pStyle w:val="44"/>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3</w:t>
            </w:r>
          </w:p>
        </w:tc>
        <w:tc>
          <w:tcPr>
            <w:tcW w:w="1019" w:type="pct"/>
            <w:vAlign w:val="center"/>
          </w:tcPr>
          <w:p w14:paraId="6BE293C0">
            <w:pPr>
              <w:pStyle w:val="44"/>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付款进度安排、资金支付方式</w:t>
            </w:r>
          </w:p>
        </w:tc>
        <w:tc>
          <w:tcPr>
            <w:tcW w:w="3665" w:type="pct"/>
            <w:vAlign w:val="center"/>
          </w:tcPr>
          <w:p w14:paraId="29F382BF">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1.合同总价为固定包干价，包括但不限于供货、包装、运输、基础装修、设备安装、调试、人工、保险、利润、售后服务、税费等与完成本项目有关的所有费用。本合同执行期间合同总价不变，采购人无须另向</w:t>
            </w:r>
            <w:r>
              <w:rPr>
                <w:rFonts w:hint="eastAsia" w:ascii="Times New Roman" w:hAnsi="Times New Roman" w:eastAsia="仿宋" w:cs="Times New Roman"/>
                <w:sz w:val="22"/>
                <w:szCs w:val="22"/>
                <w:highlight w:val="none"/>
                <w:lang w:val="zh-CN" w:eastAsia="zh-CN"/>
              </w:rPr>
              <w:t>供应商</w:t>
            </w:r>
            <w:r>
              <w:rPr>
                <w:rFonts w:hint="eastAsia" w:ascii="Times New Roman" w:hAnsi="Times New Roman" w:eastAsia="仿宋" w:cs="Times New Roman"/>
                <w:sz w:val="22"/>
                <w:szCs w:val="22"/>
                <w:highlight w:val="none"/>
                <w:lang w:val="zh-CN"/>
              </w:rPr>
              <w:t>支付本合同规定之外的其他任何费用。</w:t>
            </w:r>
          </w:p>
          <w:p w14:paraId="085100BE">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合同支付方式为1次银行转账支付。项目全部实施完成后经过采购人验收合格后，自采购人收到供应商出具的符合采购人财务要求且合法有效完整的等额完税发票之日起10个工作日内，向供应商支付合同总金额的100%的价款；如采购人收到发票之日早于项目验收合格之日，则自项目验收合格之日起10个工作日内付款。</w:t>
            </w:r>
          </w:p>
          <w:p w14:paraId="6708BE7A">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3.供应商未提供增值税发票（普票），或发票经国税网验审不合格的，或者供应商提供的发票不满足采购人财务要求的，采购人有权拒付且不承担任何逾期付款的责任。</w:t>
            </w:r>
          </w:p>
          <w:p w14:paraId="7B0B7E00">
            <w:pPr>
              <w:pStyle w:val="44"/>
              <w:spacing w:line="300" w:lineRule="auto"/>
              <w:ind w:left="210" w:leftChars="100"/>
              <w:jc w:val="both"/>
              <w:rPr>
                <w:rFonts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4.供应商保证提供的银行账户信息真实有效，如果供应商账户信息更改（采购人原则上不予以更换合同账户），需要在采购人付款前10个工作日内告知采购人，若因供应商原因导致采购人无法付款或错误付款，后果由供应商自行承担。</w:t>
            </w:r>
          </w:p>
        </w:tc>
      </w:tr>
      <w:tr w14:paraId="492D21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488" w:hRule="atLeast"/>
          <w:jc w:val="center"/>
        </w:trPr>
        <w:tc>
          <w:tcPr>
            <w:tcW w:w="314" w:type="pct"/>
            <w:vAlign w:val="center"/>
          </w:tcPr>
          <w:p w14:paraId="367B3BFA">
            <w:pPr>
              <w:pStyle w:val="44"/>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4</w:t>
            </w:r>
          </w:p>
        </w:tc>
        <w:tc>
          <w:tcPr>
            <w:tcW w:w="1019" w:type="pct"/>
            <w:vAlign w:val="center"/>
          </w:tcPr>
          <w:p w14:paraId="257BF46C">
            <w:pPr>
              <w:pStyle w:val="44"/>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安装调试要求</w:t>
            </w:r>
          </w:p>
        </w:tc>
        <w:tc>
          <w:tcPr>
            <w:tcW w:w="3665" w:type="pct"/>
            <w:vAlign w:val="center"/>
          </w:tcPr>
          <w:p w14:paraId="029EE5BB">
            <w:pPr>
              <w:pStyle w:val="44"/>
              <w:numPr>
                <w:ilvl w:val="0"/>
                <w:numId w:val="0"/>
              </w:numPr>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1.需按采购方施工要求严格执行，符合国家施工质量验收规范标准.</w:t>
            </w:r>
          </w:p>
          <w:p w14:paraId="60C1C901">
            <w:pPr>
              <w:pStyle w:val="44"/>
              <w:numPr>
                <w:ilvl w:val="0"/>
                <w:numId w:val="0"/>
              </w:numPr>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2.施工人员在展厅施工期间须全程佩戴采购人安保部门核发的工作证件；</w:t>
            </w:r>
          </w:p>
          <w:p w14:paraId="7623CD56">
            <w:pPr>
              <w:pStyle w:val="44"/>
              <w:numPr>
                <w:ilvl w:val="0"/>
                <w:numId w:val="0"/>
              </w:numPr>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3.施工期间确保展厅施工及所派出工作人员安全，所派出人员须服从采购方安保、消防人员指挥；</w:t>
            </w:r>
          </w:p>
          <w:p w14:paraId="5207B078">
            <w:pPr>
              <w:pStyle w:val="44"/>
              <w:numPr>
                <w:ilvl w:val="0"/>
                <w:numId w:val="0"/>
              </w:numPr>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4.确保材料环保、节能、无病虫害，不产生有毒有害气体，符合满足国家强制性标准规定要求，并提供产品合格证，经采购人同意后方可使用。材料在进入展厅前需要进行严格虫害消杀与防疫消杀。</w:t>
            </w:r>
          </w:p>
          <w:p w14:paraId="7528FB70">
            <w:pPr>
              <w:pStyle w:val="44"/>
              <w:numPr>
                <w:ilvl w:val="0"/>
                <w:numId w:val="0"/>
              </w:numPr>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en-US" w:eastAsia="zh-CN"/>
              </w:rPr>
              <w:t>5.供应商需要按照采购人要求安排清洁服务，即开展前、后至少两次清洁，清洁范围包含：地面、展柜内外，清洁质量满足采购人要求。</w:t>
            </w:r>
          </w:p>
          <w:p w14:paraId="146A642C">
            <w:pPr>
              <w:pStyle w:val="44"/>
              <w:spacing w:line="300" w:lineRule="auto"/>
              <w:ind w:left="210" w:leftChars="100"/>
              <w:jc w:val="both"/>
              <w:rPr>
                <w:rFonts w:hint="default" w:ascii="Times New Roman" w:hAnsi="Times New Roman" w:eastAsia="仿宋" w:cs="Times New Roman"/>
                <w:sz w:val="22"/>
                <w:szCs w:val="22"/>
                <w:highlight w:val="none"/>
                <w:lang w:val="en-US" w:eastAsia="zh-CN"/>
              </w:rPr>
            </w:pPr>
          </w:p>
        </w:tc>
      </w:tr>
      <w:tr w14:paraId="30CCA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4517306D">
            <w:pPr>
              <w:pStyle w:val="44"/>
              <w:spacing w:line="300" w:lineRule="auto"/>
              <w:jc w:val="center"/>
              <w:rPr>
                <w:rFonts w:hint="default" w:ascii="Times New Roman" w:hAnsi="Times New Roman" w:eastAsia="仿宋" w:cs="Times New Roman"/>
                <w:b w:val="0"/>
                <w:bCs w:val="0"/>
                <w:sz w:val="22"/>
                <w:szCs w:val="22"/>
                <w:highlight w:val="none"/>
                <w:lang w:val="en-US" w:eastAsia="zh-CN"/>
              </w:rPr>
            </w:pPr>
            <w:bookmarkStart w:id="41" w:name="_Toc28829"/>
            <w:bookmarkStart w:id="42" w:name="_Toc32743"/>
            <w:r>
              <w:rPr>
                <w:rFonts w:hint="eastAsia" w:ascii="Times New Roman" w:hAnsi="Times New Roman" w:eastAsia="仿宋" w:cs="Times New Roman"/>
                <w:b w:val="0"/>
                <w:bCs w:val="0"/>
                <w:sz w:val="22"/>
                <w:szCs w:val="22"/>
                <w:highlight w:val="none"/>
                <w:lang w:val="en-US" w:eastAsia="zh-CN"/>
              </w:rPr>
              <w:t>5</w:t>
            </w:r>
          </w:p>
        </w:tc>
        <w:tc>
          <w:tcPr>
            <w:tcW w:w="1762" w:type="dxa"/>
            <w:vAlign w:val="center"/>
          </w:tcPr>
          <w:p w14:paraId="26DBE691">
            <w:pPr>
              <w:pStyle w:val="44"/>
              <w:spacing w:line="300" w:lineRule="auto"/>
              <w:jc w:val="center"/>
              <w:rPr>
                <w:rFonts w:hint="eastAsia"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售后服务要求</w:t>
            </w:r>
          </w:p>
        </w:tc>
        <w:tc>
          <w:tcPr>
            <w:tcW w:w="6338" w:type="dxa"/>
            <w:vAlign w:val="center"/>
          </w:tcPr>
          <w:p w14:paraId="7051445D">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自本项目验收合格之日起，整体质量售后服务保证期3年（在质量售后服务保证期内，如果产品技术升级，供应商将及时通知采购人，如采购人有相应要求，供应商将对产品进行升级服务）维护（全部费用应包含在投标总价中）。</w:t>
            </w:r>
          </w:p>
          <w:p w14:paraId="303666F5">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2.投标产品属于国家规定“三包”范围的，其产品质量保证期不低于“三包”规定。</w:t>
            </w:r>
          </w:p>
          <w:p w14:paraId="31CA9F6F">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3.供应商有责任对其所提供的所有产品提供以下形式的技术服务:</w:t>
            </w:r>
          </w:p>
          <w:p w14:paraId="373353E4">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(1)日常保养:供应商每年两次派专业人员对所有产品进行检查、调整、保养，保证所提供展览展示设施及物品正常运行。</w:t>
            </w:r>
          </w:p>
          <w:p w14:paraId="269C799C">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(2）故障和修理:如因设备失控、操作不灵活或因安装失误等造成的故障或其它情况，24小时内派技术人员到现场维修及更换零配件(不可抗力因素和人为破坏造成的毁坏除外）。</w:t>
            </w:r>
          </w:p>
          <w:p w14:paraId="60AA382F">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(3）定期检查:内容包括故障清除、日常维护，并向采购人提交检查表。每年3月、9月进行定期保养两次。</w:t>
            </w:r>
          </w:p>
          <w:p w14:paraId="4F18D41E">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(4）质量售后服务期内每周7×24小时响应采购人要求，积极配合采购人实施和项目有关工作内容。</w:t>
            </w:r>
          </w:p>
          <w:p w14:paraId="7552ABE5">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4．质量售后服务期内</w:t>
            </w:r>
          </w:p>
          <w:p w14:paraId="73DF774A">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在质量售后服务期内，供应商应提供的项目及配套产品若出现质量问题，供应商将无条件的提供各种维修服务（售后服务期内产生的人工、运输及辅材更换等费用均由供应商承担)﹔在质量售后服务期内，任何部件若一次维修周期超过10天或同一设备出现三次故障，供应商将更换新的设备，供应商在质量售后服务期内更换的任何零配件，应保证是其原设备或同等设备。</w:t>
            </w:r>
          </w:p>
          <w:p w14:paraId="34BB1D05">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5．质量售后服务期外</w:t>
            </w:r>
          </w:p>
          <w:p w14:paraId="59564974">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（1）质量售后服务期满后，按照优惠价格提供备件、零件及修理维护。</w:t>
            </w:r>
          </w:p>
          <w:p w14:paraId="60F38964">
            <w:pPr>
              <w:pStyle w:val="44"/>
              <w:spacing w:line="300" w:lineRule="auto"/>
              <w:ind w:left="210" w:leftChars="100"/>
              <w:jc w:val="both"/>
              <w:rPr>
                <w:rFonts w:hint="eastAsia" w:ascii="Times New Roman" w:hAnsi="Times New Roman" w:eastAsia="仿宋" w:cs="Times New Roman"/>
                <w:sz w:val="22"/>
                <w:szCs w:val="22"/>
                <w:highlight w:val="none"/>
                <w:lang w:val="en-US" w:eastAsia="zh-CN"/>
              </w:rPr>
            </w:pPr>
            <w:r>
              <w:rPr>
                <w:rFonts w:hint="eastAsia" w:ascii="Times New Roman" w:hAnsi="Times New Roman" w:eastAsia="仿宋" w:cs="Times New Roman"/>
                <w:sz w:val="22"/>
                <w:szCs w:val="22"/>
                <w:highlight w:val="none"/>
                <w:lang w:val="en-US" w:eastAsia="zh-CN"/>
              </w:rPr>
              <w:t>（2）采购人在重大会议期间，供应商应提供现场技术保障。</w:t>
            </w:r>
          </w:p>
        </w:tc>
      </w:tr>
      <w:tr w14:paraId="19882C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2E0B64CA">
            <w:pPr>
              <w:pStyle w:val="44"/>
              <w:spacing w:line="300" w:lineRule="auto"/>
              <w:jc w:val="center"/>
              <w:rPr>
                <w:rFonts w:hint="default" w:ascii="Times New Roman" w:hAnsi="Times New Roman" w:eastAsia="仿宋" w:cs="Times New Roman"/>
                <w:b w:val="0"/>
                <w:bCs w:val="0"/>
                <w:sz w:val="22"/>
                <w:szCs w:val="22"/>
                <w:highlight w:val="none"/>
                <w:lang w:val="en-US" w:eastAsia="zh-CN"/>
              </w:rPr>
            </w:pPr>
            <w:r>
              <w:rPr>
                <w:rFonts w:hint="eastAsia" w:ascii="Times New Roman" w:hAnsi="Times New Roman" w:eastAsia="仿宋" w:cs="Times New Roman"/>
                <w:b w:val="0"/>
                <w:bCs w:val="0"/>
                <w:sz w:val="22"/>
                <w:szCs w:val="22"/>
                <w:highlight w:val="none"/>
                <w:lang w:val="en-US" w:eastAsia="zh-CN"/>
              </w:rPr>
              <w:t>6</w:t>
            </w:r>
          </w:p>
        </w:tc>
        <w:tc>
          <w:tcPr>
            <w:tcW w:w="1762" w:type="dxa"/>
            <w:vAlign w:val="center"/>
          </w:tcPr>
          <w:p w14:paraId="3574E798">
            <w:pPr>
              <w:pStyle w:val="44"/>
              <w:spacing w:line="300" w:lineRule="auto"/>
              <w:jc w:val="center"/>
              <w:rPr>
                <w:rFonts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其他商务要求</w:t>
            </w:r>
          </w:p>
        </w:tc>
        <w:tc>
          <w:tcPr>
            <w:tcW w:w="6338" w:type="dxa"/>
            <w:vAlign w:val="center"/>
          </w:tcPr>
          <w:p w14:paraId="3E8E9DA4">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（1）供应商完成深化设计后向甲方提交相关设计文件，甲方收到相关文件后10个工作日内组织对乙方的深化设计工作进行审定；</w:t>
            </w:r>
          </w:p>
          <w:p w14:paraId="193AB7B0">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（2）供应商完成布展全部施工后向采购人提出书面验收申请，采购人收到申请后10个工作日内组织验收。</w:t>
            </w:r>
          </w:p>
          <w:p w14:paraId="68597BDF">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（3）按</w:t>
            </w:r>
            <w:r>
              <w:rPr>
                <w:rFonts w:hint="eastAsia" w:ascii="Times New Roman" w:hAnsi="Times New Roman" w:eastAsia="仿宋" w:cs="Times New Roman"/>
                <w:sz w:val="22"/>
                <w:szCs w:val="22"/>
                <w:highlight w:val="none"/>
                <w:lang w:val="zh-CN" w:eastAsia="zh-CN"/>
              </w:rPr>
              <w:t>响应文件</w:t>
            </w:r>
            <w:r>
              <w:rPr>
                <w:rFonts w:hint="eastAsia" w:ascii="Times New Roman" w:hAnsi="Times New Roman" w:eastAsia="仿宋" w:cs="Times New Roman"/>
                <w:sz w:val="22"/>
                <w:szCs w:val="22"/>
                <w:highlight w:val="none"/>
                <w:lang w:val="zh-CN"/>
              </w:rPr>
              <w:t>相应的产品性能、技术要求、质量标准向采购人提供全新的全新货物。</w:t>
            </w:r>
          </w:p>
          <w:p w14:paraId="5B152D51">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（4）应保证所提供的成果、服务或其任何一部分均不会侵犯任何第三方的专利权、商标权或著作权。本项目所涉及的资源及建设成果的所有权、知识产权均归采购人所有。</w:t>
            </w:r>
          </w:p>
        </w:tc>
      </w:tr>
      <w:tr w14:paraId="164C73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314" w:type="pct"/>
            <w:vAlign w:val="center"/>
          </w:tcPr>
          <w:p w14:paraId="6CD7B319">
            <w:pPr>
              <w:pStyle w:val="44"/>
              <w:spacing w:line="300" w:lineRule="auto"/>
              <w:jc w:val="center"/>
              <w:rPr>
                <w:rFonts w:hint="default" w:ascii="Times New Roman" w:hAnsi="Times New Roman" w:eastAsia="仿宋" w:cs="Times New Roman"/>
                <w:b w:val="0"/>
                <w:bCs w:val="0"/>
                <w:sz w:val="22"/>
                <w:szCs w:val="22"/>
                <w:highlight w:val="none"/>
                <w:lang w:val="en-US" w:eastAsia="zh-CN"/>
              </w:rPr>
            </w:pPr>
            <w:bookmarkStart w:id="43" w:name="_Toc24148"/>
            <w:r>
              <w:rPr>
                <w:rFonts w:hint="eastAsia" w:ascii="Times New Roman" w:hAnsi="Times New Roman" w:eastAsia="仿宋" w:cs="Times New Roman"/>
                <w:b w:val="0"/>
                <w:bCs w:val="0"/>
                <w:sz w:val="22"/>
                <w:szCs w:val="22"/>
                <w:highlight w:val="none"/>
                <w:lang w:val="en-US" w:eastAsia="zh-CN"/>
              </w:rPr>
              <w:t>7</w:t>
            </w:r>
          </w:p>
        </w:tc>
        <w:tc>
          <w:tcPr>
            <w:tcW w:w="1762" w:type="dxa"/>
            <w:vAlign w:val="center"/>
          </w:tcPr>
          <w:p w14:paraId="73AC292B">
            <w:pPr>
              <w:pStyle w:val="44"/>
              <w:spacing w:line="300" w:lineRule="auto"/>
              <w:jc w:val="center"/>
              <w:rPr>
                <w:rFonts w:hint="eastAsia" w:ascii="Times New Roman" w:hAnsi="Times New Roman" w:eastAsia="仿宋" w:cs="Times New Roman"/>
                <w:b w:val="0"/>
                <w:bCs w:val="0"/>
                <w:sz w:val="22"/>
                <w:szCs w:val="22"/>
                <w:highlight w:val="none"/>
                <w:lang w:val="zh-CN"/>
              </w:rPr>
            </w:pPr>
            <w:r>
              <w:rPr>
                <w:rFonts w:hint="eastAsia" w:ascii="Times New Roman" w:hAnsi="Times New Roman" w:eastAsia="仿宋" w:cs="Times New Roman"/>
                <w:b w:val="0"/>
                <w:bCs w:val="0"/>
                <w:sz w:val="22"/>
                <w:szCs w:val="22"/>
                <w:highlight w:val="none"/>
                <w:lang w:val="zh-CN"/>
              </w:rPr>
              <w:t>履约保证金要求</w:t>
            </w:r>
          </w:p>
        </w:tc>
        <w:tc>
          <w:tcPr>
            <w:tcW w:w="6338" w:type="dxa"/>
            <w:vAlign w:val="center"/>
          </w:tcPr>
          <w:p w14:paraId="734730B2">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履约保证金为合同金额的百分之五，</w:t>
            </w:r>
            <w:r>
              <w:rPr>
                <w:rFonts w:hint="eastAsia" w:ascii="Times New Roman" w:hAnsi="Times New Roman" w:eastAsia="仿宋" w:cs="Times New Roman"/>
                <w:sz w:val="22"/>
                <w:szCs w:val="22"/>
                <w:highlight w:val="none"/>
                <w:lang w:val="zh-CN" w:eastAsia="zh-CN"/>
              </w:rPr>
              <w:t>供应商</w:t>
            </w:r>
            <w:r>
              <w:rPr>
                <w:rFonts w:hint="eastAsia" w:ascii="Times New Roman" w:hAnsi="Times New Roman" w:eastAsia="仿宋" w:cs="Times New Roman"/>
                <w:sz w:val="22"/>
                <w:szCs w:val="22"/>
                <w:highlight w:val="none"/>
                <w:lang w:val="zh-CN"/>
              </w:rPr>
              <w:t>应在</w:t>
            </w:r>
            <w:r>
              <w:rPr>
                <w:rFonts w:hint="eastAsia" w:ascii="Times New Roman" w:hAnsi="Times New Roman" w:eastAsia="仿宋" w:cs="Times New Roman"/>
                <w:sz w:val="22"/>
                <w:szCs w:val="22"/>
                <w:highlight w:val="none"/>
                <w:lang w:val="zh-CN" w:eastAsia="zh-CN"/>
              </w:rPr>
              <w:t>成交通知书</w:t>
            </w:r>
            <w:r>
              <w:rPr>
                <w:rFonts w:hint="eastAsia" w:ascii="Times New Roman" w:hAnsi="Times New Roman" w:eastAsia="仿宋" w:cs="Times New Roman"/>
                <w:sz w:val="22"/>
                <w:szCs w:val="22"/>
                <w:highlight w:val="none"/>
                <w:lang w:val="zh-CN"/>
              </w:rPr>
              <w:t>发出之日起至合同签订前以银行转账形式向采购人提交履约保证金。</w:t>
            </w:r>
          </w:p>
          <w:p w14:paraId="00193185">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履行合同约定(含售后服务)完毕且验收合格后，10个日历天内无息退还</w:t>
            </w:r>
            <w:r>
              <w:rPr>
                <w:rFonts w:hint="eastAsia" w:ascii="Times New Roman" w:hAnsi="Times New Roman" w:eastAsia="仿宋" w:cs="Times New Roman"/>
                <w:sz w:val="22"/>
                <w:szCs w:val="22"/>
                <w:highlight w:val="none"/>
                <w:lang w:val="zh-CN" w:eastAsia="zh-CN"/>
              </w:rPr>
              <w:t>供应商</w:t>
            </w:r>
            <w:r>
              <w:rPr>
                <w:rFonts w:hint="eastAsia" w:ascii="Times New Roman" w:hAnsi="Times New Roman" w:eastAsia="仿宋" w:cs="Times New Roman"/>
                <w:sz w:val="22"/>
                <w:szCs w:val="22"/>
                <w:highlight w:val="none"/>
                <w:lang w:val="zh-CN"/>
              </w:rPr>
              <w:t>应退部分履约保证金。因采购人原因逾期退还的，应当以未退还金额为基数，按合同订立时1年期贷款市场报价利率标准向</w:t>
            </w:r>
            <w:r>
              <w:rPr>
                <w:rFonts w:hint="eastAsia" w:ascii="Times New Roman" w:hAnsi="Times New Roman" w:eastAsia="仿宋" w:cs="Times New Roman"/>
                <w:sz w:val="22"/>
                <w:szCs w:val="22"/>
                <w:highlight w:val="none"/>
                <w:lang w:val="zh-CN" w:eastAsia="zh-CN"/>
              </w:rPr>
              <w:t>供应商</w:t>
            </w:r>
            <w:r>
              <w:rPr>
                <w:rFonts w:hint="eastAsia" w:ascii="Times New Roman" w:hAnsi="Times New Roman" w:eastAsia="仿宋" w:cs="Times New Roman"/>
                <w:sz w:val="22"/>
                <w:szCs w:val="22"/>
                <w:highlight w:val="none"/>
                <w:lang w:val="zh-CN"/>
              </w:rPr>
              <w:t>支付相应违约金，但违约金最高不得超过未退还金额的百分之二十。若因</w:t>
            </w:r>
            <w:r>
              <w:rPr>
                <w:rFonts w:hint="eastAsia" w:ascii="Times New Roman" w:hAnsi="Times New Roman" w:eastAsia="仿宋" w:cs="Times New Roman"/>
                <w:sz w:val="22"/>
                <w:szCs w:val="22"/>
                <w:highlight w:val="none"/>
                <w:lang w:val="zh-CN" w:eastAsia="zh-CN"/>
              </w:rPr>
              <w:t>供应商</w:t>
            </w:r>
            <w:r>
              <w:rPr>
                <w:rFonts w:hint="eastAsia" w:ascii="Times New Roman" w:hAnsi="Times New Roman" w:eastAsia="仿宋" w:cs="Times New Roman"/>
                <w:sz w:val="22"/>
                <w:szCs w:val="22"/>
                <w:highlight w:val="none"/>
                <w:lang w:val="zh-CN"/>
              </w:rPr>
              <w:t>不及时或未提供“收到退还履约保证金的收据”、“履约保证金退还申请”的，则采购人不承担逾期退还违约责任。</w:t>
            </w:r>
          </w:p>
          <w:p w14:paraId="5D671075">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履约保证金汇入的银行及账号：</w:t>
            </w:r>
          </w:p>
          <w:p w14:paraId="5630BA96">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 收款账号：成都市技师学院</w:t>
            </w:r>
          </w:p>
          <w:p w14:paraId="6849A8D9">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 开户行：工行成都红光支行</w:t>
            </w:r>
          </w:p>
          <w:p w14:paraId="462AA563">
            <w:pPr>
              <w:pStyle w:val="44"/>
              <w:spacing w:line="300" w:lineRule="auto"/>
              <w:ind w:left="210" w:leftChars="100"/>
              <w:jc w:val="both"/>
              <w:rPr>
                <w:rFonts w:hint="eastAsia" w:ascii="Times New Roman" w:hAnsi="Times New Roman" w:eastAsia="仿宋" w:cs="Times New Roman"/>
                <w:sz w:val="22"/>
                <w:szCs w:val="22"/>
                <w:highlight w:val="none"/>
                <w:lang w:val="zh-CN"/>
              </w:rPr>
            </w:pPr>
            <w:r>
              <w:rPr>
                <w:rFonts w:hint="eastAsia" w:ascii="Times New Roman" w:hAnsi="Times New Roman" w:eastAsia="仿宋" w:cs="Times New Roman"/>
                <w:sz w:val="22"/>
                <w:szCs w:val="22"/>
                <w:highlight w:val="none"/>
                <w:lang w:val="zh-CN"/>
              </w:rPr>
              <w:t> 银行账号：4402054609100031151</w:t>
            </w:r>
          </w:p>
          <w:p w14:paraId="1B857598">
            <w:pPr>
              <w:pStyle w:val="44"/>
              <w:spacing w:line="300" w:lineRule="auto"/>
              <w:ind w:left="210" w:leftChars="100"/>
              <w:jc w:val="both"/>
              <w:rPr>
                <w:rFonts w:hint="eastAsia" w:ascii="Times New Roman" w:hAnsi="Times New Roman" w:eastAsia="仿宋" w:cs="Times New Roman"/>
                <w:sz w:val="22"/>
                <w:szCs w:val="22"/>
                <w:highlight w:val="none"/>
                <w:lang w:val="zh-CN"/>
              </w:rPr>
            </w:pPr>
          </w:p>
        </w:tc>
      </w:tr>
      <w:bookmarkEnd w:id="40"/>
      <w:bookmarkEnd w:id="41"/>
      <w:bookmarkEnd w:id="42"/>
    </w:tbl>
    <w:p w14:paraId="66E4A96B">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仿宋" w:hAnsi="仿宋" w:eastAsia="仿宋" w:cs="仿宋"/>
          <w:bCs/>
          <w:color w:val="000000"/>
          <w:sz w:val="36"/>
          <w:szCs w:val="36"/>
          <w:highlight w:val="none"/>
        </w:rPr>
      </w:pPr>
    </w:p>
    <w:p w14:paraId="2A879FE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2" w:firstLineChars="200"/>
        <w:jc w:val="left"/>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方案要求（实施方案、售后服务方案等）</w:t>
      </w:r>
    </w:p>
    <w:p w14:paraId="1A1785D4">
      <w:pPr>
        <w:adjustRightInd w:val="0"/>
        <w:snapToGrid w:val="0"/>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rPr>
        <w:t>投标时应提供以下文件:</w:t>
      </w:r>
    </w:p>
    <w:p w14:paraId="0E9AC843">
      <w:pPr>
        <w:adjustRightInd w:val="0"/>
        <w:snapToGrid w:val="0"/>
        <w:spacing w:line="360" w:lineRule="auto"/>
        <w:ind w:firstLine="480" w:firstLineChars="200"/>
        <w:rPr>
          <w:rFonts w:hint="eastAsia" w:ascii="仿宋" w:hAnsi="仿宋" w:eastAsia="仿宋" w:cs="仿宋"/>
          <w:snapToGrid w:val="0"/>
          <w:color w:val="auto"/>
          <w:sz w:val="24"/>
          <w:szCs w:val="24"/>
        </w:rPr>
      </w:pPr>
      <w:r>
        <w:rPr>
          <w:rFonts w:hint="eastAsia" w:ascii="仿宋" w:hAnsi="仿宋" w:eastAsia="仿宋" w:cs="仿宋"/>
          <w:bCs/>
          <w:color w:val="auto"/>
          <w:sz w:val="24"/>
          <w:szCs w:val="24"/>
        </w:rPr>
        <w:t>4.1供应商提供</w:t>
      </w:r>
      <w:bookmarkStart w:id="44" w:name="_Hlk134886565"/>
      <w:r>
        <w:rPr>
          <w:rFonts w:hint="eastAsia" w:ascii="仿宋" w:hAnsi="仿宋" w:eastAsia="仿宋" w:cs="仿宋"/>
          <w:bCs/>
          <w:color w:val="auto"/>
          <w:sz w:val="24"/>
          <w:szCs w:val="24"/>
        </w:rPr>
        <w:t>项目服务措施：</w:t>
      </w:r>
      <w:r>
        <w:rPr>
          <w:rFonts w:hint="eastAsia" w:ascii="仿宋" w:hAnsi="仿宋" w:eastAsia="仿宋" w:cs="仿宋"/>
          <w:snapToGrid w:val="0"/>
          <w:color w:val="auto"/>
          <w:sz w:val="24"/>
          <w:szCs w:val="24"/>
        </w:rPr>
        <w:t>①详细的项目进度计划、②完整的项目服务周期保证措施、③劳动力配备及管理措施、④主要人、料、机使用计划及管理措施</w:t>
      </w:r>
    </w:p>
    <w:p w14:paraId="6C3D6D1D">
      <w:pPr>
        <w:pStyle w:val="2"/>
        <w:spacing w:line="360" w:lineRule="auto"/>
        <w:ind w:firstLine="472"/>
        <w:rPr>
          <w:rFonts w:hint="eastAsia" w:ascii="仿宋" w:hAnsi="仿宋" w:eastAsia="仿宋" w:cs="仿宋"/>
          <w:b w:val="0"/>
          <w:bCs/>
          <w:snapToGrid w:val="0"/>
          <w:color w:val="auto"/>
          <w:sz w:val="24"/>
          <w:szCs w:val="24"/>
        </w:rPr>
      </w:pPr>
      <w:r>
        <w:rPr>
          <w:rFonts w:hint="eastAsia" w:ascii="仿宋" w:hAnsi="仿宋" w:eastAsia="仿宋" w:cs="仿宋"/>
          <w:b w:val="0"/>
          <w:bCs/>
          <w:snapToGrid w:val="0"/>
          <w:color w:val="auto"/>
          <w:sz w:val="24"/>
          <w:szCs w:val="24"/>
        </w:rPr>
        <w:t>质量保证措施，包括①制定完整的质量保证体系、②确保项目质量的技术组织措施、③针对质量目标及质量控制的保证措施、④制定质量管理制度及检查制度</w:t>
      </w:r>
    </w:p>
    <w:p w14:paraId="25D6C63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snapToGrid w:val="0"/>
          <w:color w:val="auto"/>
          <w:sz w:val="24"/>
          <w:szCs w:val="24"/>
        </w:rPr>
        <w:t>安全防护措施，包括①制定完整的项目实施安全保障体系、②制定完整的安装措施、③安全教育及培训计划、④安全保证措施及安全应急预案</w:t>
      </w:r>
    </w:p>
    <w:bookmarkEnd w:id="44"/>
    <w:p w14:paraId="1C8D2296">
      <w:pPr>
        <w:kinsoku w:val="0"/>
        <w:wordWrap w:val="0"/>
        <w:overflowPunct w:val="0"/>
        <w:topLinePunct/>
        <w:autoSpaceDE w:val="0"/>
        <w:autoSpaceDN w:val="0"/>
        <w:adjustRightInd w:val="0"/>
        <w:snapToGrid w:val="0"/>
        <w:spacing w:line="360" w:lineRule="auto"/>
        <w:ind w:left="420" w:leftChars="200" w:right="42" w:rightChars="20"/>
        <w:rPr>
          <w:rFonts w:hint="eastAsia" w:ascii="仿宋" w:hAnsi="仿宋" w:eastAsia="仿宋" w:cs="仿宋"/>
          <w:snapToGrid w:val="0"/>
          <w:color w:val="auto"/>
          <w:sz w:val="24"/>
          <w:szCs w:val="24"/>
        </w:rPr>
      </w:pPr>
      <w:r>
        <w:rPr>
          <w:rFonts w:hint="eastAsia" w:ascii="仿宋" w:hAnsi="仿宋" w:eastAsia="仿宋" w:cs="仿宋"/>
          <w:bCs/>
          <w:color w:val="auto"/>
          <w:sz w:val="24"/>
          <w:szCs w:val="24"/>
        </w:rPr>
        <w:t>4.2各区域设计效果图：</w:t>
      </w:r>
      <w:r>
        <w:rPr>
          <w:rFonts w:hint="eastAsia" w:ascii="仿宋" w:hAnsi="仿宋" w:eastAsia="仿宋" w:cs="仿宋"/>
          <w:snapToGrid w:val="0"/>
          <w:color w:val="auto"/>
          <w:sz w:val="24"/>
          <w:szCs w:val="24"/>
        </w:rPr>
        <w:t>包括①俯视效果图1张，②各角度效果图5张，③近景效果图5张。效果图中应融入铁道文化、铁路工程学院文化。</w:t>
      </w:r>
    </w:p>
    <w:p w14:paraId="13AE3A48">
      <w:pPr>
        <w:adjustRightInd w:val="0"/>
        <w:snapToGrid w:val="0"/>
        <w:spacing w:line="360" w:lineRule="auto"/>
        <w:ind w:firstLine="480" w:firstLineChars="200"/>
        <w:rPr>
          <w:rFonts w:hint="eastAsia" w:ascii="仿宋" w:hAnsi="仿宋" w:eastAsia="仿宋" w:cs="仿宋"/>
          <w:bCs/>
          <w:color w:val="auto"/>
          <w:sz w:val="24"/>
          <w:szCs w:val="24"/>
        </w:rPr>
      </w:pPr>
    </w:p>
    <w:p w14:paraId="191F4B6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Cs/>
          <w:color w:val="auto"/>
          <w:sz w:val="24"/>
          <w:szCs w:val="24"/>
        </w:rPr>
        <w:t>4.3供应商提供设计方案：</w:t>
      </w:r>
      <w:r>
        <w:rPr>
          <w:rFonts w:hint="eastAsia" w:ascii="仿宋" w:hAnsi="仿宋" w:eastAsia="仿宋" w:cs="仿宋"/>
          <w:snapToGrid w:val="0"/>
          <w:color w:val="auto"/>
          <w:sz w:val="24"/>
          <w:szCs w:val="24"/>
        </w:rPr>
        <w:t>①平面布局图②顶面材质图③顶面灯光定位图④墙面立面图（标注材质）⑤造型区域制作剖面图⑥参观流项图</w:t>
      </w:r>
    </w:p>
    <w:p w14:paraId="7FA7927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720" w:firstLineChars="200"/>
        <w:jc w:val="center"/>
        <w:textAlignment w:val="auto"/>
        <w:outlineLvl w:val="0"/>
        <w:rPr>
          <w:rFonts w:hint="eastAsia" w:ascii="仿宋" w:hAnsi="仿宋" w:eastAsia="仿宋"/>
          <w:b/>
          <w:bCs w:val="0"/>
          <w:color w:val="000000"/>
          <w:sz w:val="36"/>
          <w:szCs w:val="36"/>
          <w:highlight w:val="none"/>
        </w:rPr>
      </w:pPr>
      <w:r>
        <w:rPr>
          <w:rFonts w:hint="eastAsia" w:ascii="仿宋" w:hAnsi="仿宋" w:eastAsia="仿宋"/>
          <w:bCs/>
          <w:color w:val="000000"/>
          <w:sz w:val="36"/>
          <w:szCs w:val="36"/>
          <w:highlight w:val="none"/>
        </w:rPr>
        <w:br w:type="page"/>
      </w:r>
      <w:bookmarkStart w:id="45" w:name="_Toc10910"/>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五</w:t>
      </w:r>
      <w:r>
        <w:rPr>
          <w:rFonts w:hint="eastAsia" w:ascii="仿宋" w:hAnsi="仿宋" w:eastAsia="仿宋"/>
          <w:b/>
          <w:bCs w:val="0"/>
          <w:color w:val="000000"/>
          <w:sz w:val="36"/>
          <w:szCs w:val="36"/>
          <w:highlight w:val="none"/>
        </w:rPr>
        <w:t xml:space="preserve">章 </w:t>
      </w:r>
      <w:r>
        <w:rPr>
          <w:rFonts w:hint="eastAsia" w:ascii="仿宋" w:hAnsi="仿宋" w:eastAsia="仿宋"/>
          <w:b/>
          <w:bCs w:val="0"/>
          <w:color w:val="000000"/>
          <w:sz w:val="36"/>
          <w:szCs w:val="36"/>
          <w:highlight w:val="none"/>
          <w:lang w:val="en-US" w:eastAsia="zh-CN"/>
        </w:rPr>
        <w:t>磋商内容、磋商过程中可实</w:t>
      </w:r>
      <w:r>
        <w:rPr>
          <w:rFonts w:hint="eastAsia" w:ascii="仿宋" w:hAnsi="仿宋" w:eastAsia="仿宋"/>
          <w:b/>
          <w:bCs w:val="0"/>
          <w:color w:val="000000"/>
          <w:sz w:val="36"/>
          <w:szCs w:val="36"/>
          <w:highlight w:val="none"/>
        </w:rPr>
        <w:t>质性变动的内容</w:t>
      </w:r>
      <w:bookmarkEnd w:id="43"/>
      <w:bookmarkEnd w:id="45"/>
    </w:p>
    <w:p w14:paraId="7B8AD8FD">
      <w:pPr>
        <w:pStyle w:val="23"/>
        <w:keepNext w:val="0"/>
        <w:keepLines w:val="0"/>
        <w:pageBreakBefore w:val="0"/>
        <w:widowControl w:val="0"/>
        <w:kinsoku/>
        <w:wordWrap/>
        <w:overflowPunct/>
        <w:topLinePunct w:val="0"/>
        <w:autoSpaceDE/>
        <w:autoSpaceDN/>
        <w:bidi w:val="0"/>
        <w:adjustRightInd/>
        <w:snapToGrid/>
        <w:ind w:firstLine="420"/>
        <w:textAlignment w:val="auto"/>
        <w:rPr>
          <w:rFonts w:hint="eastAsia" w:ascii="仿宋" w:hAnsi="仿宋" w:eastAsia="仿宋" w:cs="仿宋"/>
          <w:highlight w:val="none"/>
          <w:lang w:val="en-US" w:eastAsia="zh-CN"/>
        </w:rPr>
      </w:pPr>
      <w:bookmarkStart w:id="46" w:name="_Toc23968"/>
      <w:bookmarkStart w:id="47" w:name="_Toc16639"/>
      <w:bookmarkStart w:id="48" w:name="_Toc511210242"/>
      <w:r>
        <w:rPr>
          <w:rFonts w:hint="eastAsia" w:ascii="仿宋" w:hAnsi="仿宋" w:eastAsia="仿宋" w:cs="仿宋"/>
          <w:highlight w:val="none"/>
          <w:lang w:val="en-US" w:eastAsia="zh-CN"/>
        </w:rPr>
        <w:t>针对第四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End w:id="46"/>
    </w:p>
    <w:p w14:paraId="4E0A60EC">
      <w:pPr>
        <w:rPr>
          <w:rFonts w:hint="eastAsia" w:ascii="仿宋" w:hAnsi="仿宋" w:eastAsia="仿宋" w:cstheme="minorBidi"/>
          <w:b/>
          <w:bCs/>
          <w:color w:val="000000"/>
          <w:kern w:val="44"/>
          <w:sz w:val="36"/>
          <w:szCs w:val="36"/>
          <w:highlight w:val="none"/>
          <w:lang w:val="en-US" w:eastAsia="zh-CN" w:bidi="ar-SA"/>
        </w:rPr>
      </w:pPr>
      <w:r>
        <w:rPr>
          <w:rFonts w:hint="eastAsia" w:ascii="仿宋" w:hAnsi="仿宋" w:eastAsia="仿宋" w:cstheme="minorBidi"/>
          <w:b/>
          <w:bCs/>
          <w:color w:val="000000"/>
          <w:kern w:val="44"/>
          <w:sz w:val="36"/>
          <w:szCs w:val="36"/>
          <w:highlight w:val="none"/>
          <w:lang w:val="en-US" w:eastAsia="zh-CN" w:bidi="ar-SA"/>
        </w:rPr>
        <w:br w:type="page"/>
      </w:r>
    </w:p>
    <w:p w14:paraId="57054FCE">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b/>
          <w:bCs w:val="0"/>
          <w:color w:val="000000"/>
          <w:sz w:val="36"/>
          <w:szCs w:val="36"/>
          <w:highlight w:val="none"/>
        </w:rPr>
      </w:pPr>
      <w:bookmarkStart w:id="49" w:name="_Toc6952"/>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六</w:t>
      </w:r>
      <w:r>
        <w:rPr>
          <w:rFonts w:hint="eastAsia" w:ascii="仿宋" w:hAnsi="仿宋" w:eastAsia="仿宋"/>
          <w:b/>
          <w:bCs w:val="0"/>
          <w:color w:val="000000"/>
          <w:sz w:val="36"/>
          <w:szCs w:val="36"/>
          <w:highlight w:val="none"/>
        </w:rPr>
        <w:t>章 响应文件格式</w:t>
      </w:r>
      <w:bookmarkEnd w:id="49"/>
    </w:p>
    <w:bookmarkEnd w:id="47"/>
    <w:bookmarkEnd w:id="48"/>
    <w:p w14:paraId="2CFFDD3E">
      <w:pPr>
        <w:pStyle w:val="9"/>
        <w:rPr>
          <w:rFonts w:hint="eastAsia"/>
          <w:highlight w:val="none"/>
          <w:lang w:val="en-US" w:eastAsia="zh-CN"/>
        </w:rPr>
      </w:pPr>
    </w:p>
    <w:p w14:paraId="693A6F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一、本章所制响应文件格式，除格式中明确将该格式作为实质性要求的，一律不具有强制性。</w:t>
      </w:r>
    </w:p>
    <w:p w14:paraId="67BDB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二、本章所制响应文件格式有关表格中的备注栏，由供应商根据自身响应情况作解释性说明，不作为必填项。</w:t>
      </w:r>
    </w:p>
    <w:p w14:paraId="1E8F1E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三、本章所制响应文件格式中需要填写的相关内容事项，可能会与本采购项目无关，在不改变响应文件原义、不影响本项目采购需求的情况下，供应商可以不予填写，但应当注明。</w:t>
      </w:r>
    </w:p>
    <w:p w14:paraId="0747079C">
      <w:pPr>
        <w:rPr>
          <w:rFonts w:hint="eastAsia"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br w:type="page"/>
      </w:r>
    </w:p>
    <w:p w14:paraId="3ABAC68D">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sz w:val="32"/>
          <w:szCs w:val="32"/>
          <w:highlight w:val="none"/>
        </w:rPr>
      </w:pPr>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响应</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17BD06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格式1-1</w:t>
      </w:r>
    </w:p>
    <w:p w14:paraId="159ECD0B">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sz w:val="32"/>
          <w:szCs w:val="32"/>
          <w:highlight w:val="none"/>
        </w:rPr>
      </w:pPr>
    </w:p>
    <w:p w14:paraId="5A657E83">
      <w:pPr>
        <w:keepNext w:val="0"/>
        <w:keepLines w:val="0"/>
        <w:pageBreakBefore w:val="0"/>
        <w:widowControl w:val="0"/>
        <w:kinsoku/>
        <w:wordWrap/>
        <w:overflowPunct/>
        <w:topLinePunct w:val="0"/>
        <w:autoSpaceDE/>
        <w:autoSpaceDN/>
        <w:bidi w:val="0"/>
        <w:adjustRightInd/>
        <w:snapToGrid/>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0B36841E">
      <w:pPr>
        <w:keepNext w:val="0"/>
        <w:keepLines w:val="0"/>
        <w:pageBreakBefore w:val="0"/>
        <w:widowControl w:val="0"/>
        <w:kinsoku/>
        <w:wordWrap/>
        <w:overflowPunct/>
        <w:topLinePunct w:val="0"/>
        <w:autoSpaceDE/>
        <w:autoSpaceDN/>
        <w:bidi w:val="0"/>
        <w:adjustRightInd/>
        <w:snapToGrid/>
        <w:textAlignment w:val="auto"/>
        <w:outlineLvl w:val="9"/>
        <w:rPr>
          <w:rFonts w:ascii="仿宋" w:hAnsi="仿宋" w:eastAsia="仿宋"/>
          <w:b/>
          <w:sz w:val="72"/>
          <w:highlight w:val="none"/>
        </w:rPr>
      </w:pPr>
    </w:p>
    <w:p w14:paraId="01FFF88A">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成都市技师学院郫都西校区工匠文化教育博览园铁道文化建设项目</w:t>
      </w:r>
    </w:p>
    <w:p w14:paraId="59B48CC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52"/>
          <w:szCs w:val="52"/>
          <w:highlight w:val="none"/>
        </w:rPr>
      </w:pPr>
    </w:p>
    <w:p w14:paraId="57B84B41">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rPr>
      </w:pPr>
      <w:r>
        <w:rPr>
          <w:rFonts w:hint="eastAsia" w:ascii="仿宋" w:hAnsi="仿宋" w:eastAsia="仿宋"/>
          <w:b/>
          <w:sz w:val="52"/>
          <w:szCs w:val="52"/>
          <w:highlight w:val="none"/>
        </w:rPr>
        <w:t>资格性响应文件</w:t>
      </w:r>
    </w:p>
    <w:p w14:paraId="449A8D6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sz w:val="36"/>
          <w:highlight w:val="none"/>
        </w:rPr>
      </w:pPr>
    </w:p>
    <w:p w14:paraId="1E744C6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供 应 商</w:t>
      </w:r>
      <w:r>
        <w:rPr>
          <w:rFonts w:ascii="仿宋" w:hAnsi="仿宋" w:eastAsia="仿宋"/>
          <w:b/>
          <w:sz w:val="32"/>
          <w:highlight w:val="none"/>
        </w:rPr>
        <w:t>名称：</w:t>
      </w:r>
    </w:p>
    <w:p w14:paraId="1E6B10A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ascii="仿宋" w:hAnsi="仿宋" w:eastAsia="仿宋"/>
          <w:b/>
          <w:sz w:val="32"/>
          <w:highlight w:val="none"/>
        </w:rPr>
        <w:t>编</w:t>
      </w:r>
      <w:r>
        <w:rPr>
          <w:rFonts w:hint="eastAsia" w:ascii="仿宋" w:hAnsi="仿宋" w:eastAsia="仿宋"/>
          <w:b/>
          <w:sz w:val="32"/>
          <w:highlight w:val="none"/>
          <w:lang w:val="en-US" w:eastAsia="zh-CN"/>
        </w:rPr>
        <w:t xml:space="preserve"> </w:t>
      </w:r>
      <w:r>
        <w:rPr>
          <w:rFonts w:ascii="仿宋" w:hAnsi="仿宋" w:eastAsia="仿宋"/>
          <w:b/>
          <w:sz w:val="32"/>
          <w:highlight w:val="none"/>
        </w:rPr>
        <w:t>号：</w:t>
      </w:r>
      <w:r>
        <w:rPr>
          <w:rFonts w:hint="eastAsia" w:ascii="仿宋" w:hAnsi="仿宋" w:eastAsia="仿宋"/>
          <w:b/>
          <w:sz w:val="32"/>
          <w:highlight w:val="none"/>
          <w:lang w:eastAsia="zh-CN"/>
        </w:rPr>
        <w:t>HT-【采】20241106</w:t>
      </w:r>
    </w:p>
    <w:p w14:paraId="0994EE41">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hint="eastAsia" w:ascii="仿宋" w:hAnsi="仿宋" w:eastAsia="仿宋"/>
          <w:b/>
          <w:sz w:val="32"/>
          <w:highlight w:val="none"/>
        </w:rPr>
        <w:t>：</w:t>
      </w:r>
      <w:r>
        <w:rPr>
          <w:rFonts w:hint="eastAsia" w:ascii="仿宋" w:hAnsi="仿宋" w:eastAsia="仿宋"/>
          <w:b/>
          <w:sz w:val="32"/>
          <w:highlight w:val="none"/>
          <w:lang w:eastAsia="zh-CN"/>
        </w:rPr>
        <w:t>（若有）</w:t>
      </w:r>
    </w:p>
    <w:p w14:paraId="706E9739">
      <w:pPr>
        <w:keepNext w:val="0"/>
        <w:keepLines w:val="0"/>
        <w:pageBreakBefore w:val="0"/>
        <w:widowControl w:val="0"/>
        <w:kinsoku/>
        <w:wordWrap/>
        <w:overflowPunct/>
        <w:topLinePunct w:val="0"/>
        <w:autoSpaceDE/>
        <w:autoSpaceDN/>
        <w:bidi w:val="0"/>
        <w:adjustRightInd/>
        <w:snapToGrid/>
        <w:jc w:val="both"/>
        <w:textAlignment w:val="auto"/>
        <w:outlineLvl w:val="9"/>
        <w:rPr>
          <w:rFonts w:ascii="仿宋" w:hAnsi="仿宋" w:eastAsia="仿宋"/>
          <w:b/>
          <w:sz w:val="32"/>
          <w:szCs w:val="32"/>
          <w:highlight w:val="none"/>
        </w:rPr>
      </w:pPr>
    </w:p>
    <w:p w14:paraId="78D7C76F">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Arial"/>
          <w:b/>
          <w:bCs/>
          <w:sz w:val="32"/>
          <w:szCs w:val="32"/>
          <w:highlight w:val="none"/>
        </w:rPr>
      </w:pPr>
      <w:r>
        <w:rPr>
          <w:rFonts w:ascii="仿宋" w:hAnsi="仿宋" w:eastAsia="仿宋"/>
          <w:b/>
          <w:sz w:val="32"/>
          <w:highlight w:val="none"/>
        </w:rPr>
        <w:t>日期：</w:t>
      </w:r>
      <w:r>
        <w:rPr>
          <w:rFonts w:hint="eastAsia" w:ascii="仿宋" w:hAnsi="仿宋" w:eastAsia="仿宋"/>
          <w:b/>
          <w:sz w:val="32"/>
          <w:highlight w:val="none"/>
        </w:rPr>
        <w:t>XX年XX</w:t>
      </w:r>
      <w:r>
        <w:rPr>
          <w:rFonts w:ascii="仿宋" w:hAnsi="仿宋" w:eastAsia="仿宋"/>
          <w:b/>
          <w:sz w:val="32"/>
          <w:highlight w:val="none"/>
        </w:rPr>
        <w:t>月</w:t>
      </w:r>
      <w:r>
        <w:rPr>
          <w:rFonts w:hint="eastAsia" w:ascii="仿宋" w:hAnsi="仿宋" w:eastAsia="仿宋"/>
          <w:b/>
          <w:sz w:val="32"/>
          <w:highlight w:val="none"/>
        </w:rPr>
        <w:t>XX</w:t>
      </w:r>
      <w:r>
        <w:rPr>
          <w:rFonts w:ascii="仿宋" w:hAnsi="仿宋" w:eastAsia="仿宋"/>
          <w:b/>
          <w:sz w:val="32"/>
          <w:highlight w:val="none"/>
        </w:rPr>
        <w:t>日</w:t>
      </w:r>
    </w:p>
    <w:p w14:paraId="5D2484E4">
      <w:pPr>
        <w:pStyle w:val="19"/>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p>
    <w:p w14:paraId="4C854CA8">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39FC262C">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仿宋"/>
          <w:b/>
          <w:bCs/>
          <w:sz w:val="28"/>
          <w:szCs w:val="28"/>
          <w:highlight w:val="none"/>
        </w:rPr>
      </w:pPr>
      <w:r>
        <w:rPr>
          <w:rFonts w:hint="eastAsia" w:ascii="仿宋" w:hAnsi="仿宋" w:eastAsia="仿宋"/>
          <w:b/>
          <w:sz w:val="32"/>
          <w:szCs w:val="32"/>
          <w:highlight w:val="none"/>
        </w:rPr>
        <w:t>格式1-2</w:t>
      </w:r>
      <w:r>
        <w:rPr>
          <w:rFonts w:hint="eastAsia" w:ascii="仿宋" w:hAnsi="仿宋" w:eastAsia="仿宋"/>
          <w:b/>
          <w:sz w:val="32"/>
          <w:szCs w:val="32"/>
          <w:highlight w:val="none"/>
          <w:lang w:eastAsia="zh-CN"/>
        </w:rPr>
        <w:t>一、</w:t>
      </w:r>
      <w:r>
        <w:rPr>
          <w:rFonts w:hint="eastAsia" w:ascii="仿宋" w:hAnsi="仿宋" w:eastAsia="仿宋" w:cs="仿宋"/>
          <w:b/>
          <w:bCs/>
          <w:spacing w:val="24"/>
          <w:sz w:val="28"/>
          <w:szCs w:val="28"/>
          <w:highlight w:val="none"/>
          <w:lang w:eastAsia="zh-CN"/>
        </w:rPr>
        <w:t>供应商</w:t>
      </w:r>
      <w:r>
        <w:rPr>
          <w:rFonts w:ascii="仿宋" w:hAnsi="仿宋" w:eastAsia="仿宋" w:cs="仿宋"/>
          <w:b/>
          <w:bCs/>
          <w:spacing w:val="17"/>
          <w:sz w:val="28"/>
          <w:szCs w:val="28"/>
          <w:highlight w:val="none"/>
        </w:rPr>
        <w:t>根据自身情况在</w:t>
      </w:r>
      <w:r>
        <w:rPr>
          <w:rFonts w:hint="eastAsia" w:ascii="仿宋" w:hAnsi="仿宋" w:eastAsia="仿宋" w:cs="仿宋"/>
          <w:b/>
          <w:bCs/>
          <w:spacing w:val="17"/>
          <w:sz w:val="28"/>
          <w:szCs w:val="28"/>
          <w:highlight w:val="none"/>
          <w:lang w:eastAsia="zh-CN"/>
        </w:rPr>
        <w:t>响应</w:t>
      </w:r>
      <w:r>
        <w:rPr>
          <w:rFonts w:ascii="仿宋" w:hAnsi="仿宋" w:eastAsia="仿宋" w:cs="仿宋"/>
          <w:b/>
          <w:bCs/>
          <w:spacing w:val="17"/>
          <w:sz w:val="28"/>
          <w:szCs w:val="28"/>
          <w:highlight w:val="none"/>
        </w:rPr>
        <w:t>文件中提供</w:t>
      </w:r>
      <w:r>
        <w:rPr>
          <w:rFonts w:hint="eastAsia" w:ascii="仿宋" w:hAnsi="仿宋" w:eastAsia="仿宋" w:cs="仿宋"/>
          <w:b/>
          <w:bCs/>
          <w:spacing w:val="17"/>
          <w:sz w:val="28"/>
          <w:szCs w:val="28"/>
          <w:highlight w:val="none"/>
          <w:lang w:eastAsia="zh-CN"/>
        </w:rPr>
        <w:t>（一）或（二）</w:t>
      </w:r>
    </w:p>
    <w:p w14:paraId="3A986CAC">
      <w:pPr>
        <w:pStyle w:val="56"/>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（一）授权委托书</w:t>
      </w:r>
    </w:p>
    <w:p w14:paraId="634E33B8">
      <w:pPr>
        <w:pStyle w:val="56"/>
        <w:pageBreakBefore w:val="0"/>
        <w:kinsoku/>
        <w:wordWrap/>
        <w:overflowPunct/>
        <w:topLinePunct w:val="0"/>
        <w:bidi w:val="0"/>
        <w:spacing w:line="360" w:lineRule="auto"/>
        <w:jc w:val="center"/>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（若供应商代表为“授权代表”时，提供此委托书）</w:t>
      </w:r>
    </w:p>
    <w:p w14:paraId="11FFD25B">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7B705A7E">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本人</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（供应商名称）的法定代表人（单位负责人），现委托</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eastAsia="zh-CN"/>
        </w:rPr>
        <w:t>（姓名）为我方代理人。代理人在本次采购中所签署的一切文件和处理的一切有关事宜，我公司（单位）均予承认，所产生的法律后果均由我公司（单位）承担。</w:t>
      </w:r>
    </w:p>
    <w:p w14:paraId="13EB971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委托期限：自本授权委托书签署之日起至响应文件有效期届满之日止。代理人无转委托权。</w:t>
      </w:r>
    </w:p>
    <w:p w14:paraId="36B49CE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供应商名称：XXXX（盖单位公章）</w:t>
      </w:r>
    </w:p>
    <w:p w14:paraId="477C5F84">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12430389">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授权代表（代理人）签字：XXXX。</w:t>
      </w:r>
    </w:p>
    <w:p w14:paraId="5CE2F063">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33DA177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3D55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1E1120BF">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305D3DD3">
            <w:pPr>
              <w:tabs>
                <w:tab w:val="left" w:pos="5580"/>
              </w:tabs>
              <w:spacing w:line="360" w:lineRule="auto"/>
              <w:jc w:val="left"/>
              <w:rPr>
                <w:rFonts w:ascii="宋体" w:hAnsi="宋体"/>
                <w:color w:val="000000"/>
                <w:sz w:val="24"/>
                <w:szCs w:val="20"/>
                <w:highlight w:val="none"/>
              </w:rPr>
            </w:pPr>
          </w:p>
        </w:tc>
      </w:tr>
    </w:tbl>
    <w:p w14:paraId="71785421">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eastAsia="zh-CN"/>
        </w:rPr>
        <w:t>授权代表（代理人）</w:t>
      </w:r>
      <w:r>
        <w:rPr>
          <w:rFonts w:hint="eastAsia" w:ascii="仿宋" w:hAnsi="仿宋" w:eastAsia="仿宋"/>
          <w:sz w:val="24"/>
          <w:highlight w:val="none"/>
          <w:lang w:val="en-US" w:eastAsia="zh-CN"/>
        </w:rPr>
        <w:t>有效期内的居民身份证正反面</w:t>
      </w:r>
    </w:p>
    <w:tbl>
      <w:tblPr>
        <w:tblStyle w:val="2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D992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72EBB0D5">
            <w:pPr>
              <w:tabs>
                <w:tab w:val="left" w:pos="5580"/>
              </w:tabs>
              <w:spacing w:line="360" w:lineRule="auto"/>
              <w:jc w:val="left"/>
              <w:rPr>
                <w:rFonts w:ascii="宋体" w:hAnsi="宋体"/>
                <w:color w:val="000000"/>
                <w:sz w:val="24"/>
                <w:szCs w:val="20"/>
                <w:highlight w:val="none"/>
              </w:rPr>
            </w:pPr>
          </w:p>
        </w:tc>
        <w:tc>
          <w:tcPr>
            <w:tcW w:w="2875" w:type="dxa"/>
            <w:noWrap w:val="0"/>
            <w:vAlign w:val="top"/>
          </w:tcPr>
          <w:p w14:paraId="5AFDBDB6">
            <w:pPr>
              <w:tabs>
                <w:tab w:val="left" w:pos="5580"/>
              </w:tabs>
              <w:spacing w:line="360" w:lineRule="auto"/>
              <w:jc w:val="left"/>
              <w:rPr>
                <w:rFonts w:ascii="宋体" w:hAnsi="宋体"/>
                <w:color w:val="000000"/>
                <w:sz w:val="24"/>
                <w:szCs w:val="20"/>
                <w:highlight w:val="none"/>
              </w:rPr>
            </w:pPr>
          </w:p>
        </w:tc>
      </w:tr>
    </w:tbl>
    <w:p w14:paraId="6909442F">
      <w:pPr>
        <w:ind w:firstLine="720" w:firstLineChars="300"/>
        <w:rPr>
          <w:rFonts w:hint="eastAsia" w:ascii="仿宋" w:hAnsi="仿宋" w:eastAsia="仿宋"/>
          <w:sz w:val="24"/>
          <w:highlight w:val="none"/>
          <w:lang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5AC2F595">
      <w:pPr>
        <w:rPr>
          <w:rFonts w:hint="eastAsia" w:ascii="仿宋" w:hAnsi="仿宋" w:eastAsia="仿宋"/>
          <w:sz w:val="24"/>
          <w:highlight w:val="none"/>
          <w:lang w:eastAsia="zh-CN"/>
        </w:rPr>
      </w:pPr>
      <w:r>
        <w:rPr>
          <w:rFonts w:hint="eastAsia" w:ascii="仿宋" w:hAnsi="仿宋" w:eastAsia="仿宋"/>
          <w:sz w:val="24"/>
          <w:highlight w:val="none"/>
          <w:lang w:eastAsia="zh-CN"/>
        </w:rPr>
        <w:br w:type="page"/>
      </w:r>
    </w:p>
    <w:p w14:paraId="76FCDDB4">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t>（二）法定代表人（单位负责人）身份证明</w:t>
      </w:r>
    </w:p>
    <w:p w14:paraId="22188988">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kern w:val="2"/>
          <w:sz w:val="24"/>
          <w:szCs w:val="22"/>
          <w:highlight w:val="none"/>
          <w:lang w:val="en-US" w:eastAsia="zh-CN" w:bidi="ar-SA"/>
        </w:rPr>
      </w:pPr>
      <w:r>
        <w:rPr>
          <w:rFonts w:hint="eastAsia" w:ascii="仿宋" w:hAnsi="仿宋" w:eastAsia="仿宋" w:cstheme="minorBidi"/>
          <w:kern w:val="2"/>
          <w:sz w:val="24"/>
          <w:szCs w:val="22"/>
          <w:highlight w:val="none"/>
          <w:lang w:val="en-US" w:eastAsia="zh-CN" w:bidi="ar-SA"/>
        </w:rPr>
        <w:t>（若供应商代表为“法定代表人（单位负责人）”时，提供此证明）</w:t>
      </w:r>
    </w:p>
    <w:p w14:paraId="143A0C70">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sz w:val="24"/>
          <w:highlight w:val="none"/>
          <w:lang w:eastAsia="zh-CN"/>
        </w:rPr>
      </w:pPr>
    </w:p>
    <w:p w14:paraId="1284EE7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7621BEA2">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（姓名）系</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（供应商名称）的法定代表人（单位负责人）（职务</w:t>
      </w: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w:t>
      </w:r>
    </w:p>
    <w:p w14:paraId="7C1765F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特此证明。</w:t>
      </w:r>
    </w:p>
    <w:p w14:paraId="54DFB673">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highlight w:val="none"/>
          <w:lang w:val="en-US" w:eastAsia="zh-CN"/>
        </w:rPr>
      </w:pPr>
    </w:p>
    <w:p w14:paraId="3D6415A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供应商名称：XXXX（盖单位公章）</w:t>
      </w:r>
    </w:p>
    <w:p w14:paraId="5849B139">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法定代表人（单位负责人）（签字或加盖个人名章）：XXXX。</w:t>
      </w:r>
    </w:p>
    <w:p w14:paraId="4A17BE66">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eastAsia="zh-CN"/>
        </w:rPr>
      </w:pPr>
      <w:r>
        <w:rPr>
          <w:rFonts w:hint="eastAsia" w:ascii="仿宋" w:hAnsi="仿宋" w:eastAsia="仿宋"/>
          <w:sz w:val="24"/>
          <w:highlight w:val="none"/>
          <w:lang w:eastAsia="zh-CN"/>
        </w:rPr>
        <w:t>日    期：XXXX。</w:t>
      </w:r>
    </w:p>
    <w:p w14:paraId="7295EFBE">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auto"/>
          <w:sz w:val="24"/>
          <w:szCs w:val="24"/>
          <w:highlight w:val="none"/>
          <w:u w:val="none"/>
          <w:lang w:val="en-US" w:eastAsia="zh-CN"/>
        </w:rPr>
      </w:pPr>
    </w:p>
    <w:p w14:paraId="3B01A12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法定代表人（单位负责人）有效期内的居民身份证正反面</w:t>
      </w:r>
    </w:p>
    <w:tbl>
      <w:tblPr>
        <w:tblStyle w:val="24"/>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517B3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3B3D6C63">
            <w:pPr>
              <w:tabs>
                <w:tab w:val="left" w:pos="5580"/>
              </w:tabs>
              <w:spacing w:line="360" w:lineRule="auto"/>
              <w:jc w:val="left"/>
              <w:rPr>
                <w:rFonts w:ascii="宋体" w:hAnsi="宋体"/>
                <w:color w:val="000000"/>
                <w:sz w:val="24"/>
                <w:szCs w:val="20"/>
                <w:highlight w:val="none"/>
              </w:rPr>
            </w:pPr>
          </w:p>
        </w:tc>
        <w:tc>
          <w:tcPr>
            <w:tcW w:w="3398" w:type="dxa"/>
            <w:noWrap w:val="0"/>
            <w:vAlign w:val="top"/>
          </w:tcPr>
          <w:p w14:paraId="337AE8F2">
            <w:pPr>
              <w:tabs>
                <w:tab w:val="left" w:pos="5580"/>
              </w:tabs>
              <w:spacing w:line="360" w:lineRule="auto"/>
              <w:jc w:val="left"/>
              <w:rPr>
                <w:rFonts w:ascii="宋体" w:hAnsi="宋体"/>
                <w:color w:val="000000"/>
                <w:sz w:val="24"/>
                <w:szCs w:val="20"/>
                <w:highlight w:val="none"/>
              </w:rPr>
            </w:pPr>
          </w:p>
        </w:tc>
      </w:tr>
    </w:tbl>
    <w:p w14:paraId="584EBD41">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auto"/>
          <w:sz w:val="24"/>
          <w:szCs w:val="24"/>
          <w:highlight w:val="none"/>
          <w:u w:val="none"/>
          <w:lang w:val="en-US" w:eastAsia="zh-CN"/>
        </w:rPr>
      </w:pPr>
    </w:p>
    <w:p w14:paraId="4AD3A863">
      <w:pPr>
        <w:ind w:firstLine="480" w:firstLineChars="200"/>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sz w:val="24"/>
          <w:highlight w:val="none"/>
          <w:lang w:eastAsia="zh-CN"/>
        </w:rPr>
        <w:t>注：</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提供有效期内的身份证明材料，例如居民身份证或户口本或军官证或护照等；</w:t>
      </w:r>
      <w:r>
        <w:rPr>
          <w:rFonts w:hint="eastAsia" w:ascii="仿宋" w:hAnsi="仿宋" w:eastAsia="仿宋"/>
          <w:sz w:val="24"/>
          <w:highlight w:val="none"/>
          <w:lang w:val="en-US" w:eastAsia="zh-CN"/>
        </w:rPr>
        <w:t>2.</w:t>
      </w:r>
      <w:r>
        <w:rPr>
          <w:rFonts w:hint="eastAsia" w:ascii="仿宋" w:hAnsi="仿宋" w:eastAsia="仿宋"/>
          <w:sz w:val="24"/>
          <w:highlight w:val="none"/>
          <w:lang w:eastAsia="zh-CN"/>
        </w:rPr>
        <w:t>若提供居民身份证，须为正、反面复印件。</w:t>
      </w:r>
    </w:p>
    <w:p w14:paraId="05DDAB01">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格式1-3</w:t>
      </w:r>
    </w:p>
    <w:p w14:paraId="7BE98041">
      <w:pPr>
        <w:keepNext w:val="0"/>
        <w:keepLines w:val="0"/>
        <w:pageBreakBefore w:val="0"/>
        <w:widowControl/>
        <w:kinsoku/>
        <w:wordWrap/>
        <w:overflowPunct/>
        <w:topLinePunct w:val="0"/>
        <w:autoSpaceDE/>
        <w:autoSpaceDN/>
        <w:bidi w:val="0"/>
        <w:snapToGrid/>
        <w:spacing w:line="360" w:lineRule="atLeast"/>
        <w:jc w:val="center"/>
        <w:textAlignment w:val="auto"/>
        <w:outlineLvl w:val="9"/>
        <w:rPr>
          <w:rFonts w:ascii="仿宋" w:hAnsi="仿宋" w:eastAsia="仿宋"/>
          <w:b/>
          <w:sz w:val="24"/>
          <w:highlight w:val="none"/>
        </w:rPr>
      </w:pPr>
      <w:r>
        <w:rPr>
          <w:rFonts w:hint="eastAsia" w:ascii="仿宋" w:hAnsi="仿宋" w:eastAsia="仿宋"/>
          <w:b/>
          <w:sz w:val="32"/>
          <w:szCs w:val="32"/>
          <w:highlight w:val="none"/>
        </w:rPr>
        <w:t>二、承诺函</w:t>
      </w:r>
    </w:p>
    <w:p w14:paraId="78570396">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仿宋" w:hAnsi="仿宋" w:eastAsia="仿宋"/>
          <w:sz w:val="24"/>
          <w:highlight w:val="none"/>
        </w:rPr>
      </w:pPr>
      <w:r>
        <w:rPr>
          <w:rFonts w:hint="eastAsia" w:ascii="仿宋" w:hAnsi="仿宋" w:eastAsia="仿宋"/>
          <w:sz w:val="24"/>
          <w:highlight w:val="none"/>
          <w:lang w:eastAsia="zh-CN"/>
        </w:rPr>
        <w:t>恒泰工程咨询集团有限公司</w:t>
      </w:r>
      <w:r>
        <w:rPr>
          <w:rFonts w:hint="eastAsia" w:ascii="仿宋" w:hAnsi="仿宋" w:eastAsia="仿宋"/>
          <w:sz w:val="24"/>
          <w:highlight w:val="none"/>
        </w:rPr>
        <w:t>：</w:t>
      </w:r>
    </w:p>
    <w:p w14:paraId="36B5665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lang w:eastAsia="zh-CN"/>
        </w:rPr>
        <w:t>成都市技师学院郫都西校区工匠文化教育博览园铁道文化建设项目</w:t>
      </w:r>
      <w:r>
        <w:rPr>
          <w:rFonts w:hint="eastAsia" w:ascii="仿宋" w:hAnsi="仿宋" w:eastAsia="仿宋"/>
          <w:sz w:val="24"/>
          <w:highlight w:val="none"/>
        </w:rPr>
        <w:t>”</w:t>
      </w:r>
      <w:r>
        <w:rPr>
          <w:rFonts w:hint="eastAsia" w:ascii="仿宋" w:hAnsi="仿宋" w:eastAsia="仿宋"/>
          <w:sz w:val="24"/>
          <w:highlight w:val="none"/>
          <w:lang w:eastAsia="zh-CN"/>
        </w:rPr>
        <w:t>磋商</w:t>
      </w:r>
      <w:r>
        <w:rPr>
          <w:rFonts w:hint="eastAsia" w:ascii="仿宋" w:hAnsi="仿宋" w:eastAsia="仿宋"/>
          <w:sz w:val="24"/>
          <w:highlight w:val="none"/>
        </w:rPr>
        <w:t>文件（项目编号：</w:t>
      </w:r>
      <w:r>
        <w:rPr>
          <w:rFonts w:hint="eastAsia" w:ascii="仿宋" w:hAnsi="仿宋" w:eastAsia="仿宋"/>
          <w:sz w:val="24"/>
          <w:highlight w:val="none"/>
          <w:lang w:eastAsia="zh-CN"/>
        </w:rPr>
        <w:t>HT-【采】20241106</w:t>
      </w:r>
      <w:r>
        <w:rPr>
          <w:rFonts w:hint="eastAsia" w:ascii="仿宋" w:hAnsi="仿宋" w:eastAsia="仿宋"/>
          <w:sz w:val="24"/>
          <w:highlight w:val="none"/>
        </w:rPr>
        <w:t>），决定参加贵单位组织的本项目</w:t>
      </w:r>
      <w:r>
        <w:rPr>
          <w:rFonts w:hint="eastAsia" w:ascii="仿宋" w:hAnsi="仿宋" w:eastAsia="仿宋"/>
          <w:sz w:val="24"/>
          <w:highlight w:val="none"/>
          <w:lang w:eastAsia="zh-CN"/>
        </w:rPr>
        <w:t>磋商</w:t>
      </w:r>
      <w:r>
        <w:rPr>
          <w:rFonts w:hint="eastAsia" w:ascii="仿宋" w:hAnsi="仿宋" w:eastAsia="仿宋"/>
          <w:sz w:val="24"/>
          <w:highlight w:val="none"/>
        </w:rPr>
        <w:t>采购。</w:t>
      </w:r>
    </w:p>
    <w:p w14:paraId="34E7A71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lang w:val="en-US" w:eastAsia="zh-CN"/>
        </w:rPr>
        <w:t>1.</w:t>
      </w:r>
      <w:r>
        <w:rPr>
          <w:rFonts w:hint="eastAsia" w:ascii="仿宋" w:hAnsi="仿宋" w:eastAsia="仿宋"/>
          <w:sz w:val="24"/>
          <w:highlight w:val="none"/>
        </w:rPr>
        <w:t>具备</w:t>
      </w:r>
      <w:r>
        <w:rPr>
          <w:rFonts w:hint="eastAsia" w:ascii="仿宋" w:hAnsi="仿宋" w:eastAsia="仿宋"/>
          <w:sz w:val="24"/>
          <w:highlight w:val="none"/>
          <w:lang w:eastAsia="zh-CN"/>
        </w:rPr>
        <w:t>以下资格</w:t>
      </w:r>
      <w:r>
        <w:rPr>
          <w:rFonts w:hint="eastAsia" w:ascii="仿宋" w:hAnsi="仿宋" w:eastAsia="仿宋"/>
          <w:sz w:val="24"/>
          <w:highlight w:val="none"/>
        </w:rPr>
        <w:t>条件：</w:t>
      </w:r>
    </w:p>
    <w:p w14:paraId="3B5ABCF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）具有独立承担民事责任的能力；</w:t>
      </w:r>
    </w:p>
    <w:p w14:paraId="5F85861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）具有良好的商业信誉和健全的财务会计制度；</w:t>
      </w:r>
    </w:p>
    <w:p w14:paraId="16622C04">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）具有履行合同所必需的设备和专业技术能力；</w:t>
      </w:r>
    </w:p>
    <w:p w14:paraId="4E4DDD3C">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）有依法缴纳税收和社会保障资金的良好记录；</w:t>
      </w:r>
    </w:p>
    <w:p w14:paraId="5925A66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）参加采购活动前三年内，在经营活动中没有重大违法记录；</w:t>
      </w:r>
    </w:p>
    <w:p w14:paraId="48501CA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）法律、行政法规规定的其他条件；</w:t>
      </w:r>
    </w:p>
    <w:p w14:paraId="2E1D925F">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7</w:t>
      </w:r>
      <w:r>
        <w:rPr>
          <w:rFonts w:hint="eastAsia" w:ascii="仿宋" w:hAnsi="仿宋" w:eastAsia="仿宋"/>
          <w:sz w:val="24"/>
          <w:highlight w:val="none"/>
        </w:rPr>
        <w:t>）根据采购项目提出的特殊条件</w:t>
      </w:r>
      <w:r>
        <w:rPr>
          <w:rFonts w:ascii="仿宋" w:hAnsi="仿宋" w:eastAsia="仿宋"/>
          <w:sz w:val="24"/>
          <w:highlight w:val="none"/>
        </w:rPr>
        <w:t>。</w:t>
      </w:r>
    </w:p>
    <w:p w14:paraId="4A35464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b/>
          <w:bCs/>
          <w:sz w:val="24"/>
          <w:highlight w:val="none"/>
          <w:lang w:eastAsia="zh-CN"/>
        </w:rPr>
      </w:pPr>
      <w:r>
        <w:rPr>
          <w:rFonts w:hint="eastAsia" w:ascii="仿宋" w:hAnsi="仿宋" w:eastAsia="仿宋"/>
          <w:b/>
          <w:bCs/>
          <w:sz w:val="24"/>
          <w:highlight w:val="none"/>
          <w:lang w:val="en-US" w:eastAsia="zh-CN"/>
        </w:rPr>
        <w:t>2.</w:t>
      </w:r>
      <w:r>
        <w:rPr>
          <w:rFonts w:hint="eastAsia" w:ascii="仿宋" w:hAnsi="仿宋" w:eastAsia="仿宋"/>
          <w:b/>
          <w:bCs/>
          <w:sz w:val="24"/>
          <w:highlight w:val="none"/>
        </w:rPr>
        <w:t>我方已认真阅读并接受本项目</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w:t>
      </w:r>
      <w:r>
        <w:rPr>
          <w:rFonts w:hint="eastAsia" w:ascii="仿宋" w:hAnsi="仿宋" w:eastAsia="仿宋"/>
          <w:b/>
          <w:bCs/>
          <w:sz w:val="24"/>
          <w:highlight w:val="none"/>
          <w:lang w:val="en-US" w:eastAsia="zh-CN"/>
        </w:rPr>
        <w:t>内容</w:t>
      </w:r>
      <w:r>
        <w:rPr>
          <w:rFonts w:hint="eastAsia" w:ascii="仿宋" w:hAnsi="仿宋" w:eastAsia="仿宋"/>
          <w:b/>
          <w:bCs/>
          <w:sz w:val="24"/>
          <w:highlight w:val="none"/>
        </w:rPr>
        <w:t>，如对</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文件有异议，已依法进行维权救济，不存在对</w:t>
      </w:r>
      <w:r>
        <w:rPr>
          <w:rFonts w:hint="eastAsia" w:ascii="仿宋" w:hAnsi="仿宋" w:eastAsia="仿宋"/>
          <w:b/>
          <w:bCs/>
          <w:sz w:val="24"/>
          <w:highlight w:val="none"/>
          <w:lang w:val="en-US" w:eastAsia="zh-CN"/>
        </w:rPr>
        <w:t>采购</w:t>
      </w:r>
      <w:r>
        <w:rPr>
          <w:rFonts w:hint="eastAsia" w:ascii="仿宋" w:hAnsi="仿宋" w:eastAsia="仿宋"/>
          <w:b/>
          <w:bCs/>
          <w:sz w:val="24"/>
          <w:highlight w:val="none"/>
        </w:rPr>
        <w:t>文件有异议的同时又参加</w:t>
      </w:r>
      <w:r>
        <w:rPr>
          <w:rFonts w:hint="eastAsia" w:ascii="仿宋" w:hAnsi="仿宋" w:eastAsia="仿宋"/>
          <w:b/>
          <w:bCs/>
          <w:sz w:val="24"/>
          <w:highlight w:val="none"/>
          <w:lang w:eastAsia="zh-CN"/>
        </w:rPr>
        <w:t>磋商</w:t>
      </w:r>
      <w:r>
        <w:rPr>
          <w:rFonts w:hint="eastAsia" w:ascii="仿宋" w:hAnsi="仿宋" w:eastAsia="仿宋"/>
          <w:b/>
          <w:bCs/>
          <w:sz w:val="24"/>
          <w:highlight w:val="none"/>
        </w:rPr>
        <w:t>以求侥幸成交或者为实现其他非法目的的行为。</w:t>
      </w:r>
      <w:r>
        <w:rPr>
          <w:rFonts w:hint="eastAsia" w:ascii="仿宋" w:hAnsi="仿宋" w:eastAsia="仿宋"/>
          <w:b/>
          <w:bCs/>
          <w:sz w:val="24"/>
          <w:highlight w:val="none"/>
          <w:lang w:eastAsia="zh-CN"/>
        </w:rPr>
        <w:t>若提起质疑，我方承诺将在一次性提出，且在质疑内容中提供对应的</w:t>
      </w:r>
      <w:r>
        <w:rPr>
          <w:rFonts w:hint="eastAsia" w:ascii="仿宋" w:hAnsi="仿宋" w:eastAsia="仿宋"/>
          <w:b/>
          <w:bCs/>
          <w:sz w:val="24"/>
          <w:highlight w:val="none"/>
          <w:lang w:val="en-US" w:eastAsia="zh-CN"/>
        </w:rPr>
        <w:t>事实依据、法律依据及</w:t>
      </w:r>
      <w:r>
        <w:rPr>
          <w:rFonts w:hint="eastAsia" w:ascii="仿宋" w:hAnsi="仿宋" w:eastAsia="仿宋"/>
          <w:b/>
          <w:bCs/>
          <w:sz w:val="24"/>
          <w:highlight w:val="none"/>
          <w:lang w:eastAsia="zh-CN"/>
        </w:rPr>
        <w:t>证明材料。</w:t>
      </w:r>
    </w:p>
    <w:p w14:paraId="3C4109F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highlight w:val="none"/>
        </w:rPr>
      </w:pPr>
      <w:r>
        <w:rPr>
          <w:rFonts w:hint="eastAsia" w:ascii="仿宋" w:hAnsi="仿宋" w:eastAsia="仿宋"/>
          <w:sz w:val="24"/>
          <w:highlight w:val="none"/>
          <w:lang w:val="en-US" w:eastAsia="zh-CN"/>
        </w:rPr>
        <w:t>3.</w:t>
      </w:r>
      <w:r>
        <w:rPr>
          <w:rFonts w:hint="eastAsia" w:ascii="仿宋" w:hAnsi="仿宋" w:eastAsia="仿宋"/>
          <w:sz w:val="24"/>
          <w:highlight w:val="none"/>
        </w:rPr>
        <w:t>本次</w:t>
      </w:r>
      <w:r>
        <w:rPr>
          <w:rFonts w:hint="eastAsia" w:ascii="仿宋" w:hAnsi="仿宋" w:eastAsia="仿宋"/>
          <w:sz w:val="24"/>
          <w:highlight w:val="none"/>
          <w:lang w:eastAsia="zh-CN"/>
        </w:rPr>
        <w:t>磋商</w:t>
      </w:r>
      <w:r>
        <w:rPr>
          <w:rFonts w:hint="eastAsia" w:ascii="仿宋" w:hAnsi="仿宋" w:eastAsia="仿宋"/>
          <w:sz w:val="24"/>
          <w:highlight w:val="none"/>
        </w:rPr>
        <w:t>，我方提交的响应文件有效期为提交磋商首次响应文件截止之日起90天。</w:t>
      </w:r>
    </w:p>
    <w:p w14:paraId="4BC70A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4.我方为本项目提交的“资格性响应文件”正本1份、副本2份、“其他响应文件”正本1份、副本2份，“电子档”1份（U盘），U盘中“加盖供应商公章的PDF版文件”，用于本次采购活动。</w:t>
      </w:r>
    </w:p>
    <w:p w14:paraId="547DF18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5.</w:t>
      </w:r>
      <w:r>
        <w:rPr>
          <w:rFonts w:hint="eastAsia" w:ascii="仿宋" w:hAnsi="仿宋" w:eastAsia="仿宋"/>
          <w:sz w:val="24"/>
          <w:highlight w:val="none"/>
        </w:rPr>
        <w:t>在参加本次采购活动中，不存在与单位负责人为同一人或者存在直接控股、管理关系的其他供应商参与同一合同项下的采购活动的行为。</w:t>
      </w:r>
    </w:p>
    <w:p w14:paraId="239EDCF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为采购项目提供整体设计、规范编制或者项目管理、监理、检测等服务的供应商，不得再参加该采购项目的其他采购活动，我方承诺不属于此类禁止参加本项目的供应商。</w:t>
      </w:r>
    </w:p>
    <w:p w14:paraId="1840A85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7.</w:t>
      </w:r>
      <w:r>
        <w:rPr>
          <w:rFonts w:hint="eastAsia" w:ascii="仿宋" w:hAnsi="仿宋" w:eastAsia="仿宋"/>
          <w:sz w:val="24"/>
          <w:highlight w:val="none"/>
        </w:rPr>
        <w:t>在参加本次采购活动中，不存在和其他供应商在同一合同项下的采购项目中，同时委托同一个自然人、同一家庭的人员、同一单位的人员作为代理人的行为。</w:t>
      </w:r>
    </w:p>
    <w:p w14:paraId="06C199C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8.</w:t>
      </w:r>
      <w:r>
        <w:rPr>
          <w:rFonts w:hint="eastAsia" w:ascii="仿宋" w:hAnsi="仿宋" w:eastAsia="仿宋"/>
          <w:sz w:val="24"/>
          <w:highlight w:val="none"/>
        </w:rPr>
        <w:t>我方实际控制人或者中高级管理人员，不存在同时是采购代理机构工作人员的情形。</w:t>
      </w:r>
    </w:p>
    <w:p w14:paraId="2DFA5D3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9.</w:t>
      </w:r>
      <w:r>
        <w:rPr>
          <w:rFonts w:hint="eastAsia" w:ascii="仿宋" w:hAnsi="仿宋" w:eastAsia="仿宋"/>
          <w:sz w:val="24"/>
          <w:highlight w:val="none"/>
        </w:rPr>
        <w:t>不存在同一母公司的两家以上的子公司，以不同供应商身份同时参加本项目同一合同项下的采购活动的情形。</w:t>
      </w:r>
    </w:p>
    <w:p w14:paraId="71FD084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10.</w:t>
      </w:r>
      <w:r>
        <w:rPr>
          <w:rFonts w:hint="eastAsia" w:ascii="仿宋" w:hAnsi="仿宋" w:eastAsia="仿宋"/>
          <w:sz w:val="24"/>
          <w:highlight w:val="none"/>
        </w:rPr>
        <w:t>我方与采购代理机构不存在关联关系，也不是采购代理机构的母公司或子公司。</w:t>
      </w:r>
    </w:p>
    <w:p w14:paraId="3FF8680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11.</w:t>
      </w:r>
      <w:r>
        <w:rPr>
          <w:rFonts w:hint="eastAsia" w:ascii="仿宋" w:hAnsi="仿宋" w:eastAsia="仿宋"/>
          <w:sz w:val="24"/>
          <w:highlight w:val="none"/>
        </w:rPr>
        <w:t>响应文件中提供的任何资料和技术、服务、商务等响应承诺情况都是真实的、有效的、合法的。</w:t>
      </w:r>
    </w:p>
    <w:p w14:paraId="63858AC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12.</w:t>
      </w:r>
      <w:r>
        <w:rPr>
          <w:rFonts w:hint="eastAsia" w:ascii="仿宋" w:hAnsi="仿宋" w:eastAsia="仿宋"/>
          <w:sz w:val="24"/>
          <w:highlight w:val="none"/>
        </w:rPr>
        <w:t>如本项目</w:t>
      </w:r>
      <w:r>
        <w:rPr>
          <w:rFonts w:hint="eastAsia" w:ascii="仿宋" w:hAnsi="仿宋" w:eastAsia="仿宋"/>
          <w:sz w:val="24"/>
          <w:highlight w:val="none"/>
          <w:lang w:eastAsia="zh-CN"/>
        </w:rPr>
        <w:t>磋商</w:t>
      </w:r>
      <w:r>
        <w:rPr>
          <w:rFonts w:hint="eastAsia" w:ascii="仿宋" w:hAnsi="仿宋" w:eastAsia="仿宋"/>
          <w:sz w:val="24"/>
          <w:highlight w:val="none"/>
        </w:rPr>
        <w:t>采购过程中需要提供样品，则我方提供的样品即为成交后将要提供的成交产品，我方对提供样品的性能和质量负责，因样品存在缺陷或者不符合</w:t>
      </w:r>
      <w:r>
        <w:rPr>
          <w:rFonts w:hint="eastAsia" w:ascii="仿宋" w:hAnsi="仿宋" w:eastAsia="仿宋"/>
          <w:sz w:val="24"/>
          <w:highlight w:val="none"/>
          <w:lang w:eastAsia="zh-CN"/>
        </w:rPr>
        <w:t>磋商</w:t>
      </w:r>
      <w:r>
        <w:rPr>
          <w:rFonts w:hint="eastAsia" w:ascii="仿宋" w:hAnsi="仿宋" w:eastAsia="仿宋"/>
          <w:sz w:val="24"/>
          <w:highlight w:val="none"/>
        </w:rPr>
        <w:t>文件要求导致未能成交的，我方愿意承担相应不利后果。</w:t>
      </w:r>
    </w:p>
    <w:p w14:paraId="100A28A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13.</w:t>
      </w:r>
      <w:r>
        <w:rPr>
          <w:rFonts w:hint="eastAsia" w:ascii="仿宋" w:hAnsi="仿宋" w:eastAsia="仿宋"/>
          <w:sz w:val="24"/>
          <w:highlight w:val="none"/>
        </w:rPr>
        <w:t>国家或行业主管部门对采购产品的技术标准、质量标准和资格资质条件等有强制性规定的，我方承诺符合其要求。</w:t>
      </w:r>
    </w:p>
    <w:p w14:paraId="08A494F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14.</w:t>
      </w:r>
      <w:r>
        <w:rPr>
          <w:rFonts w:hint="eastAsia" w:ascii="仿宋" w:hAnsi="仿宋" w:eastAsia="仿宋"/>
          <w:sz w:val="24"/>
          <w:highlight w:val="none"/>
        </w:rPr>
        <w:t>参加本次采购活动，我方完全同意</w:t>
      </w:r>
      <w:r>
        <w:rPr>
          <w:rFonts w:hint="eastAsia" w:ascii="仿宋" w:hAnsi="仿宋" w:eastAsia="仿宋"/>
          <w:sz w:val="24"/>
          <w:highlight w:val="none"/>
          <w:lang w:eastAsia="zh-CN"/>
        </w:rPr>
        <w:t>磋商</w:t>
      </w:r>
      <w:r>
        <w:rPr>
          <w:rFonts w:hint="eastAsia" w:ascii="仿宋" w:hAnsi="仿宋" w:eastAsia="仿宋"/>
          <w:sz w:val="24"/>
          <w:highlight w:val="none"/>
        </w:rPr>
        <w:t>文件第二章关于“</w:t>
      </w:r>
      <w:r>
        <w:rPr>
          <w:rFonts w:hint="eastAsia" w:ascii="仿宋" w:hAnsi="仿宋" w:eastAsia="仿宋"/>
          <w:sz w:val="24"/>
          <w:highlight w:val="none"/>
          <w:lang w:eastAsia="zh-CN"/>
        </w:rPr>
        <w:t>磋商</w:t>
      </w:r>
      <w:r>
        <w:rPr>
          <w:rFonts w:hint="eastAsia" w:ascii="仿宋" w:hAnsi="仿宋" w:eastAsia="仿宋"/>
          <w:sz w:val="24"/>
          <w:highlight w:val="none"/>
        </w:rPr>
        <w:t>费用”、“合同分包”、“合同转包”的实质性要求，并承诺严格按照</w:t>
      </w:r>
      <w:r>
        <w:rPr>
          <w:rFonts w:hint="eastAsia" w:ascii="仿宋" w:hAnsi="仿宋" w:eastAsia="仿宋"/>
          <w:sz w:val="24"/>
          <w:highlight w:val="none"/>
          <w:lang w:eastAsia="zh-CN"/>
        </w:rPr>
        <w:t>磋商</w:t>
      </w:r>
      <w:r>
        <w:rPr>
          <w:rFonts w:hint="eastAsia" w:ascii="仿宋" w:hAnsi="仿宋" w:eastAsia="仿宋"/>
          <w:sz w:val="24"/>
          <w:highlight w:val="none"/>
        </w:rPr>
        <w:t>文件要求履行。</w:t>
      </w:r>
    </w:p>
    <w:p w14:paraId="75720F7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15.</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sz w:val="24"/>
          <w:highlight w:val="none"/>
          <w:lang w:eastAsia="zh-CN"/>
        </w:rPr>
        <w:t>磋商</w:t>
      </w:r>
      <w:r>
        <w:rPr>
          <w:rFonts w:hint="eastAsia" w:ascii="仿宋" w:hAnsi="仿宋" w:eastAsia="仿宋"/>
          <w:sz w:val="24"/>
          <w:highlight w:val="none"/>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001CB8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16.</w:t>
      </w:r>
      <w:r>
        <w:rPr>
          <w:rFonts w:hint="eastAsia" w:ascii="仿宋" w:hAnsi="仿宋" w:eastAsia="仿宋"/>
          <w:sz w:val="24"/>
          <w:highlight w:val="none"/>
        </w:rPr>
        <w:t>我方自愿按照</w:t>
      </w:r>
      <w:r>
        <w:rPr>
          <w:rFonts w:hint="eastAsia" w:ascii="仿宋" w:hAnsi="仿宋" w:eastAsia="仿宋"/>
          <w:sz w:val="24"/>
          <w:highlight w:val="none"/>
          <w:lang w:eastAsia="zh-CN"/>
        </w:rPr>
        <w:t>磋商</w:t>
      </w:r>
      <w:r>
        <w:rPr>
          <w:rFonts w:hint="eastAsia" w:ascii="仿宋" w:hAnsi="仿宋" w:eastAsia="仿宋"/>
          <w:sz w:val="24"/>
          <w:highlight w:val="none"/>
        </w:rPr>
        <w:t>文件规定的各项要求向采购人提供所需货物</w:t>
      </w:r>
      <w:r>
        <w:rPr>
          <w:rFonts w:hint="eastAsia" w:ascii="仿宋" w:hAnsi="仿宋" w:eastAsia="仿宋"/>
          <w:sz w:val="24"/>
          <w:highlight w:val="none"/>
          <w:lang w:eastAsia="zh-CN"/>
        </w:rPr>
        <w:t>和</w:t>
      </w:r>
      <w:r>
        <w:rPr>
          <w:rFonts w:hint="eastAsia" w:ascii="仿宋" w:hAnsi="仿宋" w:eastAsia="仿宋"/>
          <w:sz w:val="24"/>
          <w:highlight w:val="none"/>
        </w:rPr>
        <w:t>服务。</w:t>
      </w:r>
    </w:p>
    <w:p w14:paraId="030B4A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17.</w:t>
      </w:r>
      <w:r>
        <w:rPr>
          <w:rFonts w:hint="eastAsia" w:ascii="仿宋" w:hAnsi="仿宋" w:eastAsia="仿宋"/>
          <w:sz w:val="24"/>
          <w:highlight w:val="none"/>
        </w:rPr>
        <w:t>一旦我方成交，我方将严格履行采购合同规定的责任和义务。</w:t>
      </w:r>
    </w:p>
    <w:p w14:paraId="699452A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lang w:val="en-US" w:eastAsia="zh-CN"/>
        </w:rPr>
        <w:t>18.</w:t>
      </w:r>
      <w:r>
        <w:rPr>
          <w:rFonts w:hint="eastAsia" w:ascii="仿宋" w:hAnsi="仿宋" w:eastAsia="仿宋"/>
          <w:sz w:val="24"/>
          <w:highlight w:val="none"/>
        </w:rPr>
        <w:t>我方愿意提供贵单位可能另外要求的，与</w:t>
      </w:r>
      <w:r>
        <w:rPr>
          <w:rFonts w:hint="eastAsia" w:ascii="仿宋" w:hAnsi="仿宋" w:eastAsia="仿宋"/>
          <w:sz w:val="24"/>
          <w:highlight w:val="none"/>
          <w:lang w:eastAsia="zh-CN"/>
        </w:rPr>
        <w:t>磋商</w:t>
      </w:r>
      <w:r>
        <w:rPr>
          <w:rFonts w:hint="eastAsia" w:ascii="仿宋" w:hAnsi="仿宋" w:eastAsia="仿宋"/>
          <w:sz w:val="24"/>
          <w:highlight w:val="none"/>
        </w:rPr>
        <w:t>报价有关的文件资料，并保证我方已提供和将要提供的文件资料是真实、准确的。</w:t>
      </w:r>
    </w:p>
    <w:p w14:paraId="2B756AE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19.我方保证按照磋商</w:t>
      </w:r>
      <w:r>
        <w:rPr>
          <w:rFonts w:hint="eastAsia" w:ascii="仿宋" w:hAnsi="仿宋" w:eastAsia="仿宋"/>
          <w:sz w:val="24"/>
          <w:highlight w:val="none"/>
          <w:lang w:val="zh-CN" w:eastAsia="zh-CN"/>
        </w:rPr>
        <w:t>文件</w:t>
      </w:r>
      <w:r>
        <w:rPr>
          <w:rFonts w:hint="eastAsia" w:ascii="仿宋" w:hAnsi="仿宋" w:eastAsia="仿宋"/>
          <w:sz w:val="24"/>
          <w:highlight w:val="none"/>
          <w:lang w:val="en-US" w:eastAsia="zh-CN"/>
        </w:rPr>
        <w:t>的规定向贵公司一次性支付采购代理服务费。如因我方自身原因造成取消成交资格或自愿放弃成交资格的，我方已交纳的采购代理服务费将不予退还，由此造成的损失由我方自行承担。</w:t>
      </w:r>
    </w:p>
    <w:p w14:paraId="5C65A3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20.我方接受采购人按照采购合同约定金额支付采购资金，最后报价以《最后报价表》为准。</w:t>
      </w:r>
    </w:p>
    <w:p w14:paraId="1017D2B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本单位对上述承诺的内容事项真实性负责。如经查实上述承诺的内容事项存在虚假，我单位愿意接受以提供虚假材料谋取成交追究法律责任。</w:t>
      </w:r>
    </w:p>
    <w:p w14:paraId="59E76E82">
      <w:pPr>
        <w:pStyle w:val="6"/>
        <w:keepNext w:val="0"/>
        <w:keepLines w:val="0"/>
        <w:pageBreakBefore w:val="0"/>
        <w:kinsoku/>
        <w:wordWrap/>
        <w:overflowPunct/>
        <w:topLinePunct w:val="0"/>
        <w:autoSpaceDE/>
        <w:autoSpaceDN/>
        <w:bidi w:val="0"/>
        <w:adjustRightInd/>
        <w:snapToGrid/>
        <w:spacing w:line="240" w:lineRule="auto"/>
        <w:textAlignment w:val="auto"/>
        <w:outlineLvl w:val="9"/>
        <w:rPr>
          <w:highlight w:val="none"/>
        </w:rPr>
      </w:pPr>
    </w:p>
    <w:p w14:paraId="68C4B7B9">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75725460">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4BD5DFB0">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15DD759F">
      <w:pPr>
        <w:jc w:val="center"/>
        <w:rPr>
          <w:rFonts w:hint="eastAsia"/>
          <w:highlight w:val="none"/>
        </w:rPr>
      </w:pPr>
      <w:r>
        <w:rPr>
          <w:rFonts w:hint="eastAsia"/>
          <w:highlight w:val="none"/>
        </w:rPr>
        <w:br w:type="page"/>
      </w:r>
    </w:p>
    <w:p w14:paraId="27E7252F">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格式1-</w:t>
      </w:r>
      <w:r>
        <w:rPr>
          <w:rFonts w:hint="eastAsia" w:ascii="仿宋" w:hAnsi="仿宋" w:eastAsia="仿宋"/>
          <w:b/>
          <w:sz w:val="32"/>
          <w:szCs w:val="32"/>
          <w:highlight w:val="none"/>
          <w:lang w:val="en-US" w:eastAsia="zh-CN"/>
        </w:rPr>
        <w:t>4</w:t>
      </w:r>
    </w:p>
    <w:p w14:paraId="534C6550">
      <w:pPr>
        <w:jc w:val="center"/>
        <w:rPr>
          <w:rFonts w:hint="eastAsia"/>
          <w:highlight w:val="none"/>
        </w:rPr>
      </w:pPr>
    </w:p>
    <w:p w14:paraId="1F555D75">
      <w:pPr>
        <w:jc w:val="center"/>
        <w:rPr>
          <w:rFonts w:hint="eastAsia" w:ascii="仿宋" w:hAnsi="仿宋" w:eastAsia="仿宋"/>
          <w:b/>
          <w:sz w:val="32"/>
          <w:szCs w:val="32"/>
          <w:highlight w:val="none"/>
        </w:rPr>
      </w:pPr>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供应商和报价产品其他资格、资质性的相关证明材料</w:t>
      </w:r>
    </w:p>
    <w:p w14:paraId="1AF6CF66">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宋体"/>
          <w:bCs/>
          <w:sz w:val="24"/>
          <w:highlight w:val="none"/>
        </w:rPr>
      </w:pPr>
      <w:r>
        <w:rPr>
          <w:rFonts w:hint="eastAsia" w:ascii="仿宋" w:hAnsi="仿宋" w:eastAsia="仿宋" w:cs="宋体"/>
          <w:bCs/>
          <w:sz w:val="24"/>
          <w:highlight w:val="none"/>
        </w:rPr>
        <w:t>注：供应商应按</w:t>
      </w:r>
      <w:r>
        <w:rPr>
          <w:rFonts w:hint="eastAsia" w:ascii="仿宋" w:hAnsi="仿宋" w:eastAsia="仿宋" w:cs="宋体"/>
          <w:bCs/>
          <w:sz w:val="24"/>
          <w:highlight w:val="none"/>
          <w:lang w:eastAsia="zh-CN"/>
        </w:rPr>
        <w:t>磋商</w:t>
      </w:r>
      <w:r>
        <w:rPr>
          <w:rFonts w:hint="eastAsia" w:ascii="仿宋" w:hAnsi="仿宋" w:eastAsia="仿宋" w:cs="宋体"/>
          <w:bCs/>
          <w:sz w:val="24"/>
          <w:highlight w:val="none"/>
        </w:rPr>
        <w:t>文件第</w:t>
      </w:r>
      <w:r>
        <w:rPr>
          <w:rFonts w:hint="eastAsia" w:ascii="仿宋" w:hAnsi="仿宋" w:eastAsia="仿宋" w:cs="宋体"/>
          <w:bCs/>
          <w:sz w:val="24"/>
          <w:highlight w:val="none"/>
          <w:lang w:eastAsia="zh-CN"/>
        </w:rPr>
        <w:t>三</w:t>
      </w:r>
      <w:r>
        <w:rPr>
          <w:rFonts w:hint="eastAsia" w:ascii="仿宋" w:hAnsi="仿宋" w:eastAsia="仿宋" w:cs="宋体"/>
          <w:bCs/>
          <w:sz w:val="24"/>
          <w:highlight w:val="none"/>
        </w:rPr>
        <w:t>章相关要求提供佐证材料，有格式要求的从其要求，无格式要求的格式自拟。</w:t>
      </w:r>
    </w:p>
    <w:p w14:paraId="5FFBC8BA">
      <w:pPr>
        <w:rPr>
          <w:rFonts w:hint="eastAsia"/>
          <w:highlight w:val="none"/>
        </w:rPr>
      </w:pPr>
      <w:r>
        <w:rPr>
          <w:rFonts w:hint="eastAsia"/>
          <w:highlight w:val="none"/>
        </w:rPr>
        <w:br w:type="page"/>
      </w:r>
    </w:p>
    <w:p w14:paraId="11136F50">
      <w:pPr>
        <w:pStyle w:val="32"/>
        <w:rPr>
          <w:rFonts w:hint="eastAsia"/>
          <w:highlight w:val="none"/>
        </w:rPr>
      </w:pPr>
    </w:p>
    <w:p w14:paraId="5DF18739">
      <w:pPr>
        <w:pStyle w:val="32"/>
        <w:rPr>
          <w:rFonts w:hint="eastAsia"/>
          <w:highlight w:val="none"/>
        </w:rPr>
      </w:pPr>
    </w:p>
    <w:p w14:paraId="4D74884D">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sz w:val="32"/>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5736EC33">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格式2-1</w:t>
      </w:r>
    </w:p>
    <w:p w14:paraId="37109130">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封面：</w:t>
      </w:r>
    </w:p>
    <w:p w14:paraId="1E0816A4">
      <w:pPr>
        <w:keepNext w:val="0"/>
        <w:keepLines w:val="0"/>
        <w:pageBreakBefore w:val="0"/>
        <w:widowControl w:val="0"/>
        <w:kinsoku/>
        <w:wordWrap/>
        <w:overflowPunct/>
        <w:topLinePunct w:val="0"/>
        <w:autoSpaceDE/>
        <w:autoSpaceDN/>
        <w:bidi w:val="0"/>
        <w:snapToGrid/>
        <w:spacing w:line="360" w:lineRule="auto"/>
        <w:jc w:val="right"/>
        <w:textAlignment w:val="auto"/>
        <w:outlineLvl w:val="9"/>
        <w:rPr>
          <w:rFonts w:ascii="仿宋" w:hAnsi="仿宋" w:eastAsia="仿宋"/>
          <w:b/>
          <w:sz w:val="36"/>
          <w:highlight w:val="none"/>
        </w:rPr>
      </w:pPr>
      <w:r>
        <w:rPr>
          <w:rFonts w:ascii="仿宋" w:hAnsi="仿宋" w:eastAsia="仿宋"/>
          <w:b/>
          <w:sz w:val="36"/>
          <w:highlight w:val="none"/>
        </w:rPr>
        <w:t>（正本/副本）</w:t>
      </w:r>
    </w:p>
    <w:p w14:paraId="4EEB1DDC">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p>
    <w:p w14:paraId="35C7ABD8">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p>
    <w:p w14:paraId="5D6057D2">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sz w:val="52"/>
          <w:szCs w:val="52"/>
          <w:highlight w:val="none"/>
          <w:lang w:eastAsia="zh-CN"/>
        </w:rPr>
      </w:pPr>
      <w:r>
        <w:rPr>
          <w:rFonts w:hint="eastAsia" w:ascii="仿宋" w:hAnsi="仿宋" w:eastAsia="仿宋"/>
          <w:b/>
          <w:sz w:val="52"/>
          <w:szCs w:val="52"/>
          <w:highlight w:val="none"/>
          <w:lang w:eastAsia="zh-CN"/>
        </w:rPr>
        <w:t>成都市技师学院郫都西校区工匠文化教育博览园铁道文化建设项目</w:t>
      </w:r>
    </w:p>
    <w:p w14:paraId="1EEA1ACF">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52"/>
          <w:szCs w:val="52"/>
          <w:highlight w:val="none"/>
        </w:rPr>
      </w:pPr>
    </w:p>
    <w:p w14:paraId="7DC3B9C4">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sz w:val="32"/>
          <w:szCs w:val="32"/>
          <w:highlight w:val="none"/>
        </w:rPr>
      </w:pPr>
      <w:r>
        <w:rPr>
          <w:rFonts w:hint="eastAsia" w:ascii="仿宋" w:hAnsi="仿宋" w:eastAsia="仿宋"/>
          <w:b/>
          <w:sz w:val="52"/>
          <w:szCs w:val="52"/>
          <w:highlight w:val="none"/>
        </w:rPr>
        <w:t>其他响应文件</w:t>
      </w:r>
    </w:p>
    <w:p w14:paraId="065A97DA">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6"/>
          <w:highlight w:val="none"/>
        </w:rPr>
      </w:pPr>
    </w:p>
    <w:p w14:paraId="76FD9312">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sz w:val="32"/>
          <w:highlight w:val="none"/>
          <w:u w:val="single"/>
        </w:rPr>
      </w:pPr>
      <w:r>
        <w:rPr>
          <w:rFonts w:hint="eastAsia" w:ascii="仿宋" w:hAnsi="仿宋" w:eastAsia="仿宋"/>
          <w:b/>
          <w:sz w:val="32"/>
          <w:highlight w:val="none"/>
        </w:rPr>
        <w:t>供 应 商</w:t>
      </w:r>
      <w:r>
        <w:rPr>
          <w:rFonts w:ascii="仿宋" w:hAnsi="仿宋" w:eastAsia="仿宋"/>
          <w:b/>
          <w:sz w:val="32"/>
          <w:highlight w:val="none"/>
        </w:rPr>
        <w:t>名称：</w:t>
      </w:r>
    </w:p>
    <w:p w14:paraId="3CA81921">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rPr>
        <w:t>项</w:t>
      </w:r>
      <w:r>
        <w:rPr>
          <w:rFonts w:hint="eastAsia" w:ascii="仿宋" w:hAnsi="仿宋" w:eastAsia="仿宋"/>
          <w:b/>
          <w:sz w:val="32"/>
          <w:highlight w:val="none"/>
          <w:lang w:val="en-US" w:eastAsia="zh-CN"/>
        </w:rPr>
        <w:t xml:space="preserve"> </w:t>
      </w:r>
      <w:r>
        <w:rPr>
          <w:rFonts w:hint="eastAsia" w:ascii="仿宋" w:hAnsi="仿宋" w:eastAsia="仿宋"/>
          <w:b/>
          <w:sz w:val="32"/>
          <w:highlight w:val="none"/>
        </w:rPr>
        <w:t>目</w:t>
      </w:r>
      <w:r>
        <w:rPr>
          <w:rFonts w:hint="eastAsia" w:ascii="仿宋" w:hAnsi="仿宋" w:eastAsia="仿宋"/>
          <w:b/>
          <w:sz w:val="32"/>
          <w:highlight w:val="none"/>
          <w:lang w:val="en-US" w:eastAsia="zh-CN"/>
        </w:rPr>
        <w:t xml:space="preserve"> </w:t>
      </w:r>
      <w:r>
        <w:rPr>
          <w:rFonts w:ascii="仿宋" w:hAnsi="仿宋" w:eastAsia="仿宋"/>
          <w:b/>
          <w:sz w:val="32"/>
          <w:highlight w:val="none"/>
        </w:rPr>
        <w:t>编</w:t>
      </w:r>
      <w:r>
        <w:rPr>
          <w:rFonts w:hint="eastAsia" w:ascii="仿宋" w:hAnsi="仿宋" w:eastAsia="仿宋"/>
          <w:b/>
          <w:sz w:val="32"/>
          <w:highlight w:val="none"/>
          <w:lang w:val="en-US" w:eastAsia="zh-CN"/>
        </w:rPr>
        <w:t xml:space="preserve">  </w:t>
      </w:r>
      <w:r>
        <w:rPr>
          <w:rFonts w:ascii="仿宋" w:hAnsi="仿宋" w:eastAsia="仿宋"/>
          <w:b/>
          <w:sz w:val="32"/>
          <w:highlight w:val="none"/>
        </w:rPr>
        <w:t>号：</w:t>
      </w:r>
      <w:r>
        <w:rPr>
          <w:rFonts w:hint="eastAsia" w:ascii="仿宋" w:hAnsi="仿宋" w:eastAsia="仿宋"/>
          <w:b/>
          <w:sz w:val="32"/>
          <w:highlight w:val="none"/>
          <w:lang w:eastAsia="zh-CN"/>
        </w:rPr>
        <w:t>HT-【采】20241106</w:t>
      </w:r>
    </w:p>
    <w:p w14:paraId="27297AEB">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sz w:val="32"/>
          <w:highlight w:val="none"/>
          <w:u w:val="single"/>
          <w:lang w:eastAsia="zh-CN"/>
        </w:rPr>
      </w:pPr>
      <w:r>
        <w:rPr>
          <w:rFonts w:hint="eastAsia" w:ascii="仿宋" w:hAnsi="仿宋" w:eastAsia="仿宋"/>
          <w:b/>
          <w:sz w:val="32"/>
          <w:highlight w:val="none"/>
          <w:lang w:val="en-US" w:eastAsia="zh-CN"/>
        </w:rPr>
        <w:t>采  购 包 号</w:t>
      </w:r>
      <w:r>
        <w:rPr>
          <w:rFonts w:hint="eastAsia" w:ascii="仿宋" w:hAnsi="仿宋" w:eastAsia="仿宋"/>
          <w:b/>
          <w:sz w:val="32"/>
          <w:highlight w:val="none"/>
        </w:rPr>
        <w:t>：</w:t>
      </w:r>
      <w:r>
        <w:rPr>
          <w:rFonts w:hint="eastAsia" w:ascii="仿宋" w:hAnsi="仿宋" w:eastAsia="仿宋"/>
          <w:b/>
          <w:sz w:val="32"/>
          <w:highlight w:val="none"/>
          <w:lang w:eastAsia="zh-CN"/>
        </w:rPr>
        <w:t>（若有）</w:t>
      </w:r>
    </w:p>
    <w:p w14:paraId="6D79455A">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sz w:val="32"/>
          <w:highlight w:val="none"/>
        </w:rPr>
      </w:pPr>
    </w:p>
    <w:p w14:paraId="13869444">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sz w:val="32"/>
          <w:highlight w:val="none"/>
        </w:rPr>
      </w:pPr>
      <w:r>
        <w:rPr>
          <w:rFonts w:hint="eastAsia" w:ascii="仿宋" w:hAnsi="仿宋" w:eastAsia="仿宋"/>
          <w:b/>
          <w:sz w:val="32"/>
          <w:highlight w:val="none"/>
          <w:lang w:val="en-US" w:eastAsia="zh-CN"/>
        </w:rPr>
        <w:t>日期</w:t>
      </w:r>
      <w:r>
        <w:rPr>
          <w:rFonts w:ascii="仿宋" w:hAnsi="仿宋" w:eastAsia="仿宋"/>
          <w:b/>
          <w:sz w:val="32"/>
          <w:highlight w:val="none"/>
        </w:rPr>
        <w:t>：</w:t>
      </w:r>
      <w:r>
        <w:rPr>
          <w:rFonts w:hint="eastAsia" w:ascii="仿宋" w:hAnsi="仿宋" w:eastAsia="仿宋"/>
          <w:b/>
          <w:sz w:val="32"/>
          <w:highlight w:val="none"/>
        </w:rPr>
        <w:t>XX年XX</w:t>
      </w:r>
      <w:r>
        <w:rPr>
          <w:rFonts w:ascii="仿宋" w:hAnsi="仿宋" w:eastAsia="仿宋"/>
          <w:b/>
          <w:sz w:val="32"/>
          <w:highlight w:val="none"/>
        </w:rPr>
        <w:t>月</w:t>
      </w:r>
      <w:r>
        <w:rPr>
          <w:rFonts w:hint="eastAsia" w:ascii="仿宋" w:hAnsi="仿宋" w:eastAsia="仿宋"/>
          <w:b/>
          <w:sz w:val="32"/>
          <w:highlight w:val="none"/>
        </w:rPr>
        <w:t>XX</w:t>
      </w:r>
      <w:r>
        <w:rPr>
          <w:rFonts w:ascii="仿宋" w:hAnsi="仿宋" w:eastAsia="仿宋"/>
          <w:b/>
          <w:sz w:val="32"/>
          <w:highlight w:val="none"/>
        </w:rPr>
        <w:t>日</w:t>
      </w:r>
    </w:p>
    <w:p w14:paraId="610DDB3C">
      <w:pPr>
        <w:pStyle w:val="19"/>
        <w:keepNext w:val="0"/>
        <w:keepLines w:val="0"/>
        <w:pageBreakBefore w:val="0"/>
        <w:widowControl w:val="0"/>
        <w:kinsoku/>
        <w:wordWrap/>
        <w:overflowPunct/>
        <w:topLinePunct w:val="0"/>
        <w:autoSpaceDE/>
        <w:autoSpaceDN/>
        <w:bidi w:val="0"/>
        <w:snapToGrid/>
        <w:textAlignment w:val="auto"/>
        <w:outlineLvl w:val="9"/>
        <w:rPr>
          <w:rFonts w:ascii="仿宋" w:hAnsi="仿宋" w:eastAsia="仿宋"/>
          <w:b/>
          <w:sz w:val="32"/>
          <w:highlight w:val="none"/>
        </w:rPr>
      </w:pPr>
      <w:r>
        <w:rPr>
          <w:rFonts w:ascii="仿宋" w:hAnsi="仿宋" w:eastAsia="仿宋"/>
          <w:b/>
          <w:sz w:val="32"/>
          <w:highlight w:val="none"/>
        </w:rPr>
        <w:br w:type="page"/>
      </w:r>
    </w:p>
    <w:p w14:paraId="63FD5BA7">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格式2-2</w:t>
      </w:r>
    </w:p>
    <w:p w14:paraId="47E11CD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sz w:val="32"/>
          <w:szCs w:val="32"/>
          <w:highlight w:val="none"/>
        </w:rPr>
      </w:pPr>
      <w:r>
        <w:rPr>
          <w:rFonts w:hint="eastAsia" w:ascii="仿宋" w:hAnsi="仿宋" w:eastAsia="仿宋" w:cs="Arial"/>
          <w:b/>
          <w:bCs/>
          <w:sz w:val="32"/>
          <w:szCs w:val="32"/>
          <w:highlight w:val="none"/>
        </w:rPr>
        <w:t>供应商基本情况表</w:t>
      </w:r>
    </w:p>
    <w:p w14:paraId="0F67CBF6">
      <w:pPr>
        <w:keepNext w:val="0"/>
        <w:keepLines w:val="0"/>
        <w:pageBreakBefore w:val="0"/>
        <w:kinsoku/>
        <w:wordWrap/>
        <w:overflowPunct/>
        <w:topLinePunct w:val="0"/>
        <w:autoSpaceDE/>
        <w:autoSpaceDN/>
        <w:bidi w:val="0"/>
        <w:snapToGrid/>
        <w:jc w:val="center"/>
        <w:textAlignment w:val="auto"/>
        <w:outlineLvl w:val="9"/>
        <w:rPr>
          <w:rFonts w:ascii="仿宋" w:hAnsi="仿宋" w:eastAsia="仿宋" w:cs="Arial"/>
          <w:b/>
          <w:bCs/>
          <w:sz w:val="32"/>
          <w:szCs w:val="32"/>
          <w:highlight w:val="none"/>
        </w:rPr>
      </w:pPr>
    </w:p>
    <w:tbl>
      <w:tblPr>
        <w:tblStyle w:val="58"/>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79A138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76D33A96">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lang w:val="en-US" w:eastAsia="zh-CN"/>
              </w:rPr>
              <w:t>供应商</w:t>
            </w:r>
            <w:r>
              <w:rPr>
                <w:rFonts w:hint="eastAsia" w:ascii="仿宋" w:hAnsi="仿宋" w:eastAsia="仿宋" w:cs="仿宋"/>
                <w:spacing w:val="7"/>
                <w:sz w:val="23"/>
                <w:szCs w:val="23"/>
                <w:highlight w:val="none"/>
              </w:rPr>
              <w:t>名称</w:t>
            </w:r>
          </w:p>
        </w:tc>
        <w:tc>
          <w:tcPr>
            <w:tcW w:w="6780" w:type="dxa"/>
            <w:gridSpan w:val="4"/>
            <w:tcBorders>
              <w:tl2br w:val="nil"/>
              <w:tr2bl w:val="nil"/>
            </w:tcBorders>
            <w:vAlign w:val="center"/>
          </w:tcPr>
          <w:p w14:paraId="50BE532B">
            <w:pPr>
              <w:jc w:val="center"/>
              <w:rPr>
                <w:rFonts w:hint="eastAsia" w:ascii="仿宋" w:hAnsi="仿宋" w:eastAsia="仿宋" w:cs="仿宋"/>
                <w:sz w:val="21"/>
                <w:highlight w:val="none"/>
              </w:rPr>
            </w:pPr>
          </w:p>
        </w:tc>
      </w:tr>
      <w:tr w14:paraId="15715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25F179D9">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成立时间</w:t>
            </w:r>
          </w:p>
        </w:tc>
        <w:tc>
          <w:tcPr>
            <w:tcW w:w="3127" w:type="dxa"/>
            <w:gridSpan w:val="2"/>
            <w:tcBorders>
              <w:tl2br w:val="nil"/>
              <w:tr2bl w:val="nil"/>
            </w:tcBorders>
            <w:vAlign w:val="center"/>
          </w:tcPr>
          <w:p w14:paraId="3EE8B1E5">
            <w:pPr>
              <w:jc w:val="center"/>
              <w:rPr>
                <w:rFonts w:hint="eastAsia" w:ascii="仿宋" w:hAnsi="仿宋" w:eastAsia="仿宋" w:cs="仿宋"/>
                <w:sz w:val="21"/>
                <w:highlight w:val="none"/>
              </w:rPr>
            </w:pPr>
          </w:p>
        </w:tc>
        <w:tc>
          <w:tcPr>
            <w:tcW w:w="1364" w:type="dxa"/>
            <w:tcBorders>
              <w:tl2br w:val="nil"/>
              <w:tr2bl w:val="nil"/>
            </w:tcBorders>
            <w:vAlign w:val="center"/>
          </w:tcPr>
          <w:p w14:paraId="0B22F230">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员</w:t>
            </w:r>
            <w:r>
              <w:rPr>
                <w:rFonts w:hint="eastAsia" w:ascii="仿宋" w:hAnsi="仿宋" w:eastAsia="仿宋" w:cs="仿宋"/>
                <w:spacing w:val="6"/>
                <w:sz w:val="23"/>
                <w:szCs w:val="23"/>
                <w:highlight w:val="none"/>
              </w:rPr>
              <w:t>工总人数</w:t>
            </w:r>
          </w:p>
        </w:tc>
        <w:tc>
          <w:tcPr>
            <w:tcW w:w="2289" w:type="dxa"/>
            <w:tcBorders>
              <w:tl2br w:val="nil"/>
              <w:tr2bl w:val="nil"/>
            </w:tcBorders>
            <w:vAlign w:val="center"/>
          </w:tcPr>
          <w:p w14:paraId="25CA5212">
            <w:pPr>
              <w:jc w:val="center"/>
              <w:rPr>
                <w:rFonts w:hint="eastAsia" w:ascii="仿宋" w:hAnsi="仿宋" w:eastAsia="仿宋" w:cs="仿宋"/>
                <w:sz w:val="21"/>
                <w:highlight w:val="none"/>
              </w:rPr>
            </w:pPr>
          </w:p>
        </w:tc>
      </w:tr>
      <w:tr w14:paraId="713F8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2C4A2518">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rPr>
              <w:t>邮政编码</w:t>
            </w:r>
          </w:p>
        </w:tc>
        <w:tc>
          <w:tcPr>
            <w:tcW w:w="6780" w:type="dxa"/>
            <w:gridSpan w:val="4"/>
            <w:tcBorders>
              <w:tl2br w:val="nil"/>
              <w:tr2bl w:val="nil"/>
            </w:tcBorders>
            <w:vAlign w:val="center"/>
          </w:tcPr>
          <w:p w14:paraId="15C61299">
            <w:pPr>
              <w:jc w:val="center"/>
              <w:rPr>
                <w:rFonts w:hint="eastAsia" w:ascii="仿宋" w:hAnsi="仿宋" w:eastAsia="仿宋" w:cs="仿宋"/>
                <w:sz w:val="21"/>
                <w:highlight w:val="none"/>
              </w:rPr>
            </w:pPr>
          </w:p>
        </w:tc>
      </w:tr>
      <w:tr w14:paraId="642C1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762F7677">
            <w:pPr>
              <w:spacing w:line="240" w:lineRule="auto"/>
              <w:ind w:left="0"/>
              <w:jc w:val="center"/>
              <w:rPr>
                <w:rFonts w:hint="eastAsia" w:ascii="仿宋" w:hAnsi="仿宋" w:eastAsia="仿宋" w:cs="仿宋"/>
                <w:spacing w:val="6"/>
                <w:sz w:val="23"/>
                <w:szCs w:val="23"/>
                <w:highlight w:val="none"/>
              </w:rPr>
            </w:pPr>
            <w:r>
              <w:rPr>
                <w:rFonts w:hint="eastAsia" w:ascii="仿宋" w:hAnsi="仿宋" w:eastAsia="仿宋" w:cs="仿宋"/>
                <w:spacing w:val="6"/>
                <w:sz w:val="23"/>
                <w:szCs w:val="23"/>
                <w:highlight w:val="none"/>
              </w:rPr>
              <w:t>营业地</w:t>
            </w:r>
            <w:r>
              <w:rPr>
                <w:rFonts w:hint="eastAsia" w:ascii="仿宋" w:hAnsi="仿宋" w:eastAsia="仿宋" w:cs="仿宋"/>
                <w:spacing w:val="5"/>
                <w:sz w:val="23"/>
                <w:szCs w:val="23"/>
                <w:highlight w:val="none"/>
              </w:rPr>
              <w:t>址</w:t>
            </w:r>
          </w:p>
        </w:tc>
        <w:tc>
          <w:tcPr>
            <w:tcW w:w="6780" w:type="dxa"/>
            <w:gridSpan w:val="4"/>
            <w:tcBorders>
              <w:tl2br w:val="nil"/>
              <w:tr2bl w:val="nil"/>
            </w:tcBorders>
            <w:vAlign w:val="center"/>
          </w:tcPr>
          <w:p w14:paraId="7E152F91">
            <w:pPr>
              <w:jc w:val="center"/>
              <w:rPr>
                <w:rFonts w:hint="eastAsia" w:ascii="仿宋" w:hAnsi="仿宋" w:eastAsia="仿宋" w:cs="仿宋"/>
                <w:sz w:val="21"/>
                <w:highlight w:val="none"/>
              </w:rPr>
            </w:pPr>
          </w:p>
        </w:tc>
      </w:tr>
      <w:tr w14:paraId="15E24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03FAC1F2">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position w:val="17"/>
                <w:sz w:val="23"/>
                <w:szCs w:val="23"/>
                <w:highlight w:val="none"/>
              </w:rPr>
              <w:t>统一社会</w:t>
            </w:r>
            <w:r>
              <w:rPr>
                <w:rFonts w:hint="eastAsia" w:ascii="仿宋" w:hAnsi="仿宋" w:eastAsia="仿宋" w:cs="仿宋"/>
                <w:spacing w:val="6"/>
                <w:position w:val="17"/>
                <w:sz w:val="23"/>
                <w:szCs w:val="23"/>
                <w:highlight w:val="none"/>
              </w:rPr>
              <w:t>信</w:t>
            </w:r>
          </w:p>
          <w:p w14:paraId="380F3B2F">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6"/>
                <w:sz w:val="23"/>
                <w:szCs w:val="23"/>
                <w:highlight w:val="none"/>
              </w:rPr>
              <w:t>用代码</w:t>
            </w:r>
          </w:p>
        </w:tc>
        <w:tc>
          <w:tcPr>
            <w:tcW w:w="6780" w:type="dxa"/>
            <w:gridSpan w:val="4"/>
            <w:tcBorders>
              <w:tl2br w:val="nil"/>
              <w:tr2bl w:val="nil"/>
            </w:tcBorders>
            <w:vAlign w:val="center"/>
          </w:tcPr>
          <w:p w14:paraId="0D649C0D">
            <w:pPr>
              <w:jc w:val="center"/>
              <w:rPr>
                <w:rFonts w:hint="eastAsia" w:ascii="仿宋" w:hAnsi="仿宋" w:eastAsia="仿宋" w:cs="仿宋"/>
                <w:sz w:val="21"/>
                <w:highlight w:val="none"/>
              </w:rPr>
            </w:pPr>
          </w:p>
        </w:tc>
      </w:tr>
      <w:tr w14:paraId="1BC47D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1FF39DC4">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开</w:t>
            </w:r>
            <w:r>
              <w:rPr>
                <w:rFonts w:hint="eastAsia" w:ascii="仿宋" w:hAnsi="仿宋" w:eastAsia="仿宋" w:cs="仿宋"/>
                <w:spacing w:val="7"/>
                <w:sz w:val="23"/>
                <w:szCs w:val="23"/>
                <w:highlight w:val="none"/>
              </w:rPr>
              <w:t>户银行</w:t>
            </w:r>
          </w:p>
        </w:tc>
        <w:tc>
          <w:tcPr>
            <w:tcW w:w="3127" w:type="dxa"/>
            <w:gridSpan w:val="2"/>
            <w:tcBorders>
              <w:tl2br w:val="nil"/>
              <w:tr2bl w:val="nil"/>
            </w:tcBorders>
            <w:vAlign w:val="center"/>
          </w:tcPr>
          <w:p w14:paraId="77094504">
            <w:pPr>
              <w:jc w:val="center"/>
              <w:rPr>
                <w:rFonts w:hint="eastAsia" w:ascii="仿宋" w:hAnsi="仿宋" w:eastAsia="仿宋" w:cs="仿宋"/>
                <w:sz w:val="21"/>
                <w:highlight w:val="none"/>
              </w:rPr>
            </w:pPr>
          </w:p>
        </w:tc>
        <w:tc>
          <w:tcPr>
            <w:tcW w:w="1364" w:type="dxa"/>
            <w:tcBorders>
              <w:tl2br w:val="nil"/>
              <w:tr2bl w:val="nil"/>
            </w:tcBorders>
            <w:vAlign w:val="center"/>
          </w:tcPr>
          <w:p w14:paraId="0404712E">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3"/>
                <w:sz w:val="23"/>
                <w:szCs w:val="23"/>
                <w:highlight w:val="none"/>
              </w:rPr>
              <w:t>账号</w:t>
            </w:r>
          </w:p>
        </w:tc>
        <w:tc>
          <w:tcPr>
            <w:tcW w:w="2289" w:type="dxa"/>
            <w:tcBorders>
              <w:tl2br w:val="nil"/>
              <w:tr2bl w:val="nil"/>
            </w:tcBorders>
            <w:vAlign w:val="center"/>
          </w:tcPr>
          <w:p w14:paraId="23C0DAFF">
            <w:pPr>
              <w:jc w:val="center"/>
              <w:rPr>
                <w:rFonts w:hint="eastAsia" w:ascii="仿宋" w:hAnsi="仿宋" w:eastAsia="仿宋" w:cs="仿宋"/>
                <w:sz w:val="21"/>
                <w:highlight w:val="none"/>
              </w:rPr>
            </w:pPr>
          </w:p>
        </w:tc>
      </w:tr>
      <w:tr w14:paraId="75AD9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76133CE9">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sz w:val="23"/>
                <w:szCs w:val="23"/>
                <w:highlight w:val="none"/>
              </w:rPr>
              <w:t>联</w:t>
            </w:r>
            <w:r>
              <w:rPr>
                <w:rFonts w:hint="eastAsia" w:ascii="仿宋" w:hAnsi="仿宋" w:eastAsia="仿宋" w:cs="仿宋"/>
                <w:spacing w:val="7"/>
                <w:sz w:val="23"/>
                <w:szCs w:val="23"/>
                <w:highlight w:val="none"/>
              </w:rPr>
              <w:t>系方式</w:t>
            </w:r>
          </w:p>
        </w:tc>
        <w:tc>
          <w:tcPr>
            <w:tcW w:w="1025" w:type="dxa"/>
            <w:tcBorders>
              <w:tl2br w:val="nil"/>
              <w:tr2bl w:val="nil"/>
            </w:tcBorders>
            <w:vAlign w:val="center"/>
          </w:tcPr>
          <w:p w14:paraId="14262767">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联</w:t>
            </w:r>
            <w:r>
              <w:rPr>
                <w:rFonts w:hint="eastAsia" w:ascii="仿宋" w:hAnsi="仿宋" w:eastAsia="仿宋" w:cs="仿宋"/>
                <w:spacing w:val="6"/>
                <w:sz w:val="23"/>
                <w:szCs w:val="23"/>
                <w:highlight w:val="none"/>
              </w:rPr>
              <w:t>系人</w:t>
            </w:r>
          </w:p>
        </w:tc>
        <w:tc>
          <w:tcPr>
            <w:tcW w:w="2102" w:type="dxa"/>
            <w:tcBorders>
              <w:tl2br w:val="nil"/>
              <w:tr2bl w:val="nil"/>
            </w:tcBorders>
            <w:vAlign w:val="center"/>
          </w:tcPr>
          <w:p w14:paraId="5E4F7D09">
            <w:pPr>
              <w:jc w:val="center"/>
              <w:rPr>
                <w:rFonts w:hint="eastAsia" w:ascii="仿宋" w:hAnsi="仿宋" w:eastAsia="仿宋" w:cs="仿宋"/>
                <w:sz w:val="21"/>
                <w:highlight w:val="none"/>
              </w:rPr>
            </w:pPr>
          </w:p>
        </w:tc>
        <w:tc>
          <w:tcPr>
            <w:tcW w:w="1364" w:type="dxa"/>
            <w:tcBorders>
              <w:tl2br w:val="nil"/>
              <w:tr2bl w:val="nil"/>
            </w:tcBorders>
            <w:vAlign w:val="center"/>
          </w:tcPr>
          <w:p w14:paraId="52643F8D">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10"/>
                <w:sz w:val="23"/>
                <w:szCs w:val="23"/>
                <w:highlight w:val="none"/>
              </w:rPr>
              <w:t>电</w:t>
            </w:r>
            <w:r>
              <w:rPr>
                <w:rFonts w:hint="eastAsia" w:ascii="仿宋" w:hAnsi="仿宋" w:eastAsia="仿宋" w:cs="仿宋"/>
                <w:spacing w:val="-8"/>
                <w:sz w:val="23"/>
                <w:szCs w:val="23"/>
                <w:highlight w:val="none"/>
              </w:rPr>
              <w:t>话</w:t>
            </w:r>
          </w:p>
        </w:tc>
        <w:tc>
          <w:tcPr>
            <w:tcW w:w="2289" w:type="dxa"/>
            <w:tcBorders>
              <w:tl2br w:val="nil"/>
              <w:tr2bl w:val="nil"/>
            </w:tcBorders>
            <w:vAlign w:val="center"/>
          </w:tcPr>
          <w:p w14:paraId="128B43C8">
            <w:pPr>
              <w:jc w:val="center"/>
              <w:rPr>
                <w:rFonts w:hint="eastAsia" w:ascii="仿宋" w:hAnsi="仿宋" w:eastAsia="仿宋" w:cs="仿宋"/>
                <w:sz w:val="21"/>
                <w:highlight w:val="none"/>
              </w:rPr>
            </w:pPr>
          </w:p>
        </w:tc>
      </w:tr>
      <w:tr w14:paraId="3A625C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4FDFC58B">
            <w:pPr>
              <w:jc w:val="center"/>
              <w:rPr>
                <w:rFonts w:hint="eastAsia" w:ascii="仿宋" w:hAnsi="仿宋" w:eastAsia="仿宋" w:cs="仿宋"/>
                <w:sz w:val="21"/>
                <w:highlight w:val="none"/>
              </w:rPr>
            </w:pPr>
          </w:p>
        </w:tc>
        <w:tc>
          <w:tcPr>
            <w:tcW w:w="1025" w:type="dxa"/>
            <w:tcBorders>
              <w:tl2br w:val="nil"/>
              <w:tr2bl w:val="nil"/>
            </w:tcBorders>
            <w:vAlign w:val="center"/>
          </w:tcPr>
          <w:p w14:paraId="4280B7D6">
            <w:pPr>
              <w:spacing w:before="0" w:line="240" w:lineRule="auto"/>
              <w:ind w:left="0"/>
              <w:jc w:val="center"/>
              <w:rPr>
                <w:rFonts w:hint="eastAsia" w:ascii="仿宋" w:hAnsi="仿宋" w:eastAsia="仿宋" w:cs="仿宋"/>
                <w:sz w:val="23"/>
                <w:szCs w:val="23"/>
                <w:highlight w:val="none"/>
                <w:lang w:val="en-US" w:eastAsia="zh-CN"/>
              </w:rPr>
            </w:pPr>
            <w:r>
              <w:rPr>
                <w:rFonts w:hint="eastAsia" w:ascii="仿宋" w:hAnsi="仿宋" w:eastAsia="仿宋" w:cs="仿宋"/>
                <w:sz w:val="23"/>
                <w:szCs w:val="23"/>
                <w:highlight w:val="none"/>
                <w:lang w:val="en-US" w:eastAsia="zh-CN"/>
              </w:rPr>
              <w:t>手机号</w:t>
            </w:r>
          </w:p>
        </w:tc>
        <w:tc>
          <w:tcPr>
            <w:tcW w:w="2102" w:type="dxa"/>
            <w:tcBorders>
              <w:tl2br w:val="nil"/>
              <w:tr2bl w:val="nil"/>
            </w:tcBorders>
            <w:vAlign w:val="center"/>
          </w:tcPr>
          <w:p w14:paraId="71319B05">
            <w:pPr>
              <w:jc w:val="center"/>
              <w:rPr>
                <w:rFonts w:hint="eastAsia" w:ascii="仿宋" w:hAnsi="仿宋" w:eastAsia="仿宋" w:cs="仿宋"/>
                <w:sz w:val="21"/>
                <w:highlight w:val="none"/>
              </w:rPr>
            </w:pPr>
          </w:p>
        </w:tc>
        <w:tc>
          <w:tcPr>
            <w:tcW w:w="1364" w:type="dxa"/>
            <w:tcBorders>
              <w:tl2br w:val="nil"/>
              <w:tr2bl w:val="nil"/>
            </w:tcBorders>
            <w:vAlign w:val="center"/>
          </w:tcPr>
          <w:p w14:paraId="58DCF111">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lang w:val="en-US" w:eastAsia="zh-CN"/>
              </w:rPr>
              <w:t>电子</w:t>
            </w:r>
            <w:r>
              <w:rPr>
                <w:rFonts w:hint="eastAsia" w:ascii="仿宋" w:hAnsi="仿宋" w:eastAsia="仿宋" w:cs="仿宋"/>
                <w:spacing w:val="-5"/>
                <w:sz w:val="23"/>
                <w:szCs w:val="23"/>
                <w:highlight w:val="none"/>
              </w:rPr>
              <w:t>邮</w:t>
            </w:r>
            <w:r>
              <w:rPr>
                <w:rFonts w:hint="eastAsia" w:ascii="仿宋" w:hAnsi="仿宋" w:eastAsia="仿宋" w:cs="仿宋"/>
                <w:spacing w:val="-3"/>
                <w:sz w:val="23"/>
                <w:szCs w:val="23"/>
                <w:highlight w:val="none"/>
              </w:rPr>
              <w:t>箱</w:t>
            </w:r>
          </w:p>
        </w:tc>
        <w:tc>
          <w:tcPr>
            <w:tcW w:w="2289" w:type="dxa"/>
            <w:tcBorders>
              <w:tl2br w:val="nil"/>
              <w:tr2bl w:val="nil"/>
            </w:tcBorders>
            <w:vAlign w:val="center"/>
          </w:tcPr>
          <w:p w14:paraId="0E589872">
            <w:pPr>
              <w:jc w:val="center"/>
              <w:rPr>
                <w:rFonts w:hint="eastAsia" w:ascii="仿宋" w:hAnsi="仿宋" w:eastAsia="仿宋" w:cs="仿宋"/>
                <w:sz w:val="21"/>
                <w:highlight w:val="none"/>
              </w:rPr>
            </w:pPr>
          </w:p>
        </w:tc>
      </w:tr>
      <w:tr w14:paraId="3E398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65FD04E5">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8"/>
                <w:position w:val="17"/>
                <w:sz w:val="23"/>
                <w:szCs w:val="23"/>
                <w:highlight w:val="none"/>
              </w:rPr>
              <w:t>法定代表</w:t>
            </w:r>
            <w:r>
              <w:rPr>
                <w:rFonts w:hint="eastAsia" w:ascii="仿宋" w:hAnsi="仿宋" w:eastAsia="仿宋" w:cs="仿宋"/>
                <w:spacing w:val="7"/>
                <w:position w:val="17"/>
                <w:sz w:val="23"/>
                <w:szCs w:val="23"/>
                <w:highlight w:val="none"/>
              </w:rPr>
              <w:t>人</w:t>
            </w:r>
          </w:p>
          <w:p w14:paraId="5290D3CE">
            <w:pPr>
              <w:spacing w:line="240" w:lineRule="auto"/>
              <w:ind w:left="0"/>
              <w:jc w:val="center"/>
              <w:rPr>
                <w:rFonts w:hint="eastAsia" w:ascii="仿宋" w:hAnsi="仿宋" w:eastAsia="仿宋" w:cs="仿宋"/>
                <w:sz w:val="23"/>
                <w:szCs w:val="23"/>
                <w:highlight w:val="none"/>
              </w:rPr>
            </w:pPr>
            <w:r>
              <w:rPr>
                <w:rFonts w:hint="eastAsia" w:ascii="仿宋" w:hAnsi="仿宋" w:eastAsia="仿宋" w:cs="仿宋"/>
                <w:spacing w:val="2"/>
                <w:sz w:val="23"/>
                <w:szCs w:val="23"/>
                <w:highlight w:val="none"/>
              </w:rPr>
              <w:t>(</w:t>
            </w:r>
            <w:r>
              <w:rPr>
                <w:rFonts w:hint="eastAsia" w:ascii="仿宋" w:hAnsi="仿宋" w:eastAsia="仿宋" w:cs="仿宋"/>
                <w:spacing w:val="1"/>
                <w:sz w:val="23"/>
                <w:szCs w:val="23"/>
                <w:highlight w:val="none"/>
              </w:rPr>
              <w:t>主要负责人)</w:t>
            </w:r>
          </w:p>
        </w:tc>
        <w:tc>
          <w:tcPr>
            <w:tcW w:w="1025" w:type="dxa"/>
            <w:tcBorders>
              <w:tl2br w:val="nil"/>
              <w:tr2bl w:val="nil"/>
            </w:tcBorders>
            <w:vAlign w:val="center"/>
          </w:tcPr>
          <w:p w14:paraId="37E8F4C2">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5"/>
                <w:sz w:val="23"/>
                <w:szCs w:val="23"/>
                <w:highlight w:val="none"/>
              </w:rPr>
              <w:t>姓名</w:t>
            </w:r>
          </w:p>
        </w:tc>
        <w:tc>
          <w:tcPr>
            <w:tcW w:w="2102" w:type="dxa"/>
            <w:tcBorders>
              <w:tl2br w:val="nil"/>
              <w:tr2bl w:val="nil"/>
            </w:tcBorders>
            <w:vAlign w:val="center"/>
          </w:tcPr>
          <w:p w14:paraId="0AA938EF">
            <w:pPr>
              <w:jc w:val="center"/>
              <w:rPr>
                <w:rFonts w:hint="eastAsia" w:ascii="仿宋" w:hAnsi="仿宋" w:eastAsia="仿宋" w:cs="仿宋"/>
                <w:sz w:val="21"/>
                <w:highlight w:val="none"/>
              </w:rPr>
            </w:pPr>
          </w:p>
        </w:tc>
        <w:tc>
          <w:tcPr>
            <w:tcW w:w="1364" w:type="dxa"/>
            <w:tcBorders>
              <w:tl2br w:val="nil"/>
              <w:tr2bl w:val="nil"/>
            </w:tcBorders>
            <w:vAlign w:val="center"/>
          </w:tcPr>
          <w:p w14:paraId="5662CA5F">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z w:val="23"/>
                <w:szCs w:val="23"/>
                <w:highlight w:val="none"/>
                <w:lang w:val="en-US" w:eastAsia="zh-CN"/>
              </w:rPr>
              <w:t>手机号</w:t>
            </w:r>
          </w:p>
        </w:tc>
        <w:tc>
          <w:tcPr>
            <w:tcW w:w="2289" w:type="dxa"/>
            <w:tcBorders>
              <w:tl2br w:val="nil"/>
              <w:tr2bl w:val="nil"/>
            </w:tcBorders>
            <w:vAlign w:val="center"/>
          </w:tcPr>
          <w:p w14:paraId="7FBD8BB2">
            <w:pPr>
              <w:jc w:val="center"/>
              <w:rPr>
                <w:rFonts w:hint="eastAsia" w:ascii="仿宋" w:hAnsi="仿宋" w:eastAsia="仿宋" w:cs="仿宋"/>
                <w:sz w:val="21"/>
                <w:highlight w:val="none"/>
              </w:rPr>
            </w:pPr>
          </w:p>
        </w:tc>
      </w:tr>
      <w:tr w14:paraId="7A5B1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044F2CFD">
            <w:pPr>
              <w:spacing w:before="0" w:line="240" w:lineRule="auto"/>
              <w:ind w:left="0"/>
              <w:jc w:val="center"/>
              <w:rPr>
                <w:rFonts w:hint="eastAsia" w:ascii="仿宋" w:hAnsi="仿宋" w:eastAsia="仿宋" w:cs="仿宋"/>
                <w:sz w:val="23"/>
                <w:szCs w:val="23"/>
                <w:highlight w:val="none"/>
              </w:rPr>
            </w:pPr>
            <w:r>
              <w:rPr>
                <w:rFonts w:hint="eastAsia" w:ascii="仿宋" w:hAnsi="仿宋" w:eastAsia="仿宋" w:cs="仿宋"/>
                <w:spacing w:val="7"/>
                <w:sz w:val="23"/>
                <w:szCs w:val="23"/>
                <w:highlight w:val="none"/>
              </w:rPr>
              <w:t>经营范围</w:t>
            </w:r>
          </w:p>
        </w:tc>
        <w:tc>
          <w:tcPr>
            <w:tcW w:w="5755" w:type="dxa"/>
            <w:gridSpan w:val="3"/>
            <w:tcBorders>
              <w:tl2br w:val="nil"/>
              <w:tr2bl w:val="nil"/>
            </w:tcBorders>
            <w:vAlign w:val="center"/>
          </w:tcPr>
          <w:p w14:paraId="404C6F98">
            <w:pPr>
              <w:jc w:val="center"/>
              <w:rPr>
                <w:rFonts w:hint="eastAsia" w:ascii="仿宋" w:hAnsi="仿宋" w:eastAsia="仿宋" w:cs="仿宋"/>
                <w:sz w:val="21"/>
                <w:highlight w:val="none"/>
              </w:rPr>
            </w:pPr>
          </w:p>
        </w:tc>
      </w:tr>
      <w:tr w14:paraId="13B55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1223B9C5">
            <w:pPr>
              <w:spacing w:before="0" w:line="240" w:lineRule="auto"/>
              <w:ind w:left="0"/>
              <w:jc w:val="center"/>
              <w:rPr>
                <w:rFonts w:hint="eastAsia" w:ascii="仿宋" w:hAnsi="仿宋" w:eastAsia="仿宋" w:cs="仿宋"/>
                <w:sz w:val="23"/>
                <w:szCs w:val="23"/>
                <w:highlight w:val="none"/>
                <w:lang w:eastAsia="zh-CN"/>
              </w:rPr>
            </w:pPr>
            <w:r>
              <w:rPr>
                <w:rFonts w:hint="eastAsia" w:ascii="仿宋" w:hAnsi="仿宋" w:eastAsia="仿宋" w:cs="仿宋"/>
                <w:spacing w:val="4"/>
                <w:sz w:val="23"/>
                <w:szCs w:val="23"/>
                <w:highlight w:val="none"/>
              </w:rPr>
              <w:t>备</w:t>
            </w:r>
            <w:r>
              <w:rPr>
                <w:rFonts w:hint="eastAsia" w:ascii="仿宋" w:hAnsi="仿宋" w:eastAsia="仿宋" w:cs="仿宋"/>
                <w:spacing w:val="3"/>
                <w:sz w:val="23"/>
                <w:szCs w:val="23"/>
                <w:highlight w:val="none"/>
              </w:rPr>
              <w:t>注</w:t>
            </w:r>
          </w:p>
        </w:tc>
        <w:tc>
          <w:tcPr>
            <w:tcW w:w="5755" w:type="dxa"/>
            <w:gridSpan w:val="3"/>
            <w:tcBorders>
              <w:tl2br w:val="nil"/>
              <w:tr2bl w:val="nil"/>
            </w:tcBorders>
            <w:vAlign w:val="center"/>
          </w:tcPr>
          <w:p w14:paraId="4EB05162">
            <w:pPr>
              <w:jc w:val="center"/>
              <w:rPr>
                <w:rFonts w:hint="eastAsia" w:ascii="仿宋" w:hAnsi="仿宋" w:eastAsia="仿宋" w:cs="仿宋"/>
                <w:sz w:val="21"/>
                <w:highlight w:val="none"/>
              </w:rPr>
            </w:pPr>
          </w:p>
        </w:tc>
      </w:tr>
    </w:tbl>
    <w:p w14:paraId="4B815E07">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sz w:val="24"/>
          <w:highlight w:val="none"/>
          <w:lang w:val="en-US" w:eastAsia="zh-CN"/>
        </w:rPr>
      </w:pPr>
      <w:r>
        <w:rPr>
          <w:rFonts w:hint="eastAsia" w:ascii="仿宋" w:hAnsi="仿宋" w:eastAsia="仿宋" w:cs="宋体"/>
          <w:sz w:val="24"/>
          <w:highlight w:val="none"/>
        </w:rPr>
        <w:t>注：</w:t>
      </w:r>
      <w:r>
        <w:rPr>
          <w:rFonts w:hint="eastAsia" w:ascii="仿宋" w:hAnsi="仿宋" w:eastAsia="仿宋" w:cs="宋体"/>
          <w:sz w:val="24"/>
          <w:highlight w:val="none"/>
          <w:lang w:val="en-US" w:eastAsia="zh-CN"/>
        </w:rPr>
        <w:t>若本表中存在不涉及的内容，可填写“/”。</w:t>
      </w:r>
    </w:p>
    <w:p w14:paraId="6139B63B">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sz w:val="24"/>
          <w:highlight w:val="none"/>
        </w:rPr>
      </w:pPr>
    </w:p>
    <w:p w14:paraId="65F0D76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7E109B8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1208A3A0">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35277AC3">
      <w:pPr>
        <w:pageBreakBefore w:val="0"/>
        <w:kinsoku/>
        <w:wordWrap/>
        <w:overflowPunct/>
        <w:topLinePunct w:val="0"/>
        <w:autoSpaceDE/>
        <w:autoSpaceDN/>
        <w:bidi w:val="0"/>
        <w:snapToGrid/>
        <w:textAlignment w:val="auto"/>
        <w:outlineLvl w:val="9"/>
        <w:rPr>
          <w:rFonts w:hint="eastAsia"/>
          <w:highlight w:val="none"/>
        </w:rPr>
      </w:pPr>
      <w:r>
        <w:rPr>
          <w:rFonts w:hint="eastAsia"/>
          <w:highlight w:val="none"/>
        </w:rPr>
        <w:br w:type="page"/>
      </w:r>
    </w:p>
    <w:p w14:paraId="4799718B">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3</w:t>
      </w:r>
    </w:p>
    <w:p w14:paraId="7A190BE6">
      <w:pPr>
        <w:keepNext w:val="0"/>
        <w:keepLines w:val="0"/>
        <w:pageBreakBefore w:val="0"/>
        <w:kinsoku/>
        <w:wordWrap/>
        <w:overflowPunct/>
        <w:topLinePunct w:val="0"/>
        <w:autoSpaceDE/>
        <w:autoSpaceDN/>
        <w:bidi w:val="0"/>
        <w:snapToGrid/>
        <w:jc w:val="center"/>
        <w:textAlignment w:val="auto"/>
        <w:outlineLvl w:val="9"/>
        <w:rPr>
          <w:rFonts w:hint="default"/>
          <w:highlight w:val="none"/>
          <w:lang w:val="en-US" w:eastAsia="zh-CN"/>
        </w:rPr>
      </w:pPr>
      <w:r>
        <w:rPr>
          <w:rFonts w:hint="eastAsia" w:ascii="仿宋" w:hAnsi="仿宋" w:eastAsia="仿宋"/>
          <w:b/>
          <w:sz w:val="32"/>
          <w:szCs w:val="32"/>
          <w:highlight w:val="none"/>
        </w:rPr>
        <w:t xml:space="preserve">报价一览表 </w:t>
      </w:r>
    </w:p>
    <w:tbl>
      <w:tblPr>
        <w:tblStyle w:val="24"/>
        <w:tblW w:w="0" w:type="auto"/>
        <w:tblInd w:w="0" w:type="dxa"/>
        <w:tblLayout w:type="fixed"/>
        <w:tblCellMar>
          <w:top w:w="0" w:type="dxa"/>
          <w:left w:w="108" w:type="dxa"/>
          <w:bottom w:w="0" w:type="dxa"/>
          <w:right w:w="108" w:type="dxa"/>
        </w:tblCellMar>
      </w:tblPr>
      <w:tblGrid>
        <w:gridCol w:w="1826"/>
        <w:gridCol w:w="1759"/>
        <w:gridCol w:w="1364"/>
        <w:gridCol w:w="4070"/>
      </w:tblGrid>
      <w:tr w14:paraId="5B35E85B">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71906B82">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52CBB740">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eastAsia="zh-CN"/>
              </w:rPr>
              <w:t>成都市技师学院郫都西校区工匠文化教育博览园铁道文化建设项目</w:t>
            </w:r>
          </w:p>
        </w:tc>
      </w:tr>
      <w:tr w14:paraId="25F2A885">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1272EA0">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7E38D218">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eastAsia="zh-CN"/>
              </w:rPr>
              <w:t>HT-【采】20241106</w:t>
            </w:r>
          </w:p>
        </w:tc>
      </w:tr>
      <w:tr w14:paraId="207C1EEB">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7254C482">
            <w:pPr>
              <w:tabs>
                <w:tab w:val="left" w:pos="7665"/>
              </w:tabs>
              <w:spacing w:line="276" w:lineRule="auto"/>
              <w:jc w:val="center"/>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采购包号</w:t>
            </w:r>
          </w:p>
          <w:p w14:paraId="1781E232">
            <w:pPr>
              <w:tabs>
                <w:tab w:val="left" w:pos="7665"/>
              </w:tabs>
              <w:spacing w:line="276" w:lineRule="auto"/>
              <w:jc w:val="center"/>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6FCCDF61">
            <w:pPr>
              <w:tabs>
                <w:tab w:val="left" w:pos="7665"/>
              </w:tabs>
              <w:spacing w:line="276" w:lineRule="auto"/>
              <w:jc w:val="center"/>
              <w:rPr>
                <w:rFonts w:hint="eastAsia" w:ascii="仿宋" w:hAnsi="仿宋" w:eastAsia="仿宋" w:cs="仿宋"/>
                <w:b/>
                <w:bCs/>
                <w:kern w:val="0"/>
                <w:sz w:val="24"/>
                <w:highlight w:val="none"/>
                <w:lang w:eastAsia="zh-CN"/>
              </w:rPr>
            </w:pPr>
          </w:p>
        </w:tc>
      </w:tr>
      <w:tr w14:paraId="74F7E103">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A7CE105">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1D90AFA">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C41C504">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服务时间</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2F0717C0">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w:t>
            </w:r>
          </w:p>
        </w:tc>
      </w:tr>
      <w:tr w14:paraId="3D4F6C54">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6504A826">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1E3B9F0B">
            <w:pPr>
              <w:tabs>
                <w:tab w:val="left" w:pos="7665"/>
              </w:tabs>
              <w:spacing w:line="276" w:lineRule="auto"/>
              <w:jc w:val="center"/>
              <w:rPr>
                <w:rFonts w:hint="eastAsia"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ED72A04">
            <w:pPr>
              <w:tabs>
                <w:tab w:val="left" w:pos="7665"/>
              </w:tabs>
              <w:spacing w:line="276" w:lineRule="auto"/>
              <w:jc w:val="center"/>
              <w:rPr>
                <w:rFonts w:hint="eastAsia"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40B4F91A">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4260E798">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3E29DFD7">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B4CDB91">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D4805B6">
            <w:pPr>
              <w:tabs>
                <w:tab w:val="left" w:pos="7665"/>
              </w:tabs>
              <w:spacing w:line="276" w:lineRule="auto"/>
              <w:jc w:val="center"/>
              <w:rPr>
                <w:rFonts w:hint="eastAsia"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49588AF">
            <w:pPr>
              <w:tabs>
                <w:tab w:val="left" w:pos="7665"/>
              </w:tabs>
              <w:spacing w:line="276" w:lineRule="auto"/>
              <w:jc w:val="center"/>
              <w:rPr>
                <w:rFonts w:hint="eastAsia"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38070281">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6DF89065">
            <w:pPr>
              <w:tabs>
                <w:tab w:val="left" w:pos="7665"/>
              </w:tabs>
              <w:spacing w:line="276"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681D861F">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7DB4B10">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2AB65251">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7F8D7317">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5DD8C2F8">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18F5A465">
            <w:pPr>
              <w:tabs>
                <w:tab w:val="left" w:pos="7665"/>
              </w:tabs>
              <w:spacing w:line="276"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59F43E26">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70C88448">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10C20F77">
            <w:pPr>
              <w:tabs>
                <w:tab w:val="left" w:pos="7665"/>
              </w:tabs>
              <w:spacing w:line="276" w:lineRule="auto"/>
              <w:jc w:val="left"/>
              <w:rPr>
                <w:rFonts w:hint="eastAsia" w:ascii="仿宋" w:hAnsi="仿宋" w:eastAsia="仿宋" w:cs="仿宋"/>
                <w:kern w:val="0"/>
                <w:sz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bl>
    <w:p w14:paraId="5F94A49F">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cs="宋体"/>
          <w:spacing w:val="6"/>
          <w:sz w:val="24"/>
          <w:highlight w:val="none"/>
        </w:rPr>
      </w:pPr>
    </w:p>
    <w:p w14:paraId="3FF44AF2">
      <w:pPr>
        <w:rPr>
          <w:rFonts w:hint="eastAsia"/>
          <w:highlight w:val="none"/>
        </w:rPr>
      </w:pPr>
    </w:p>
    <w:p w14:paraId="7037234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2C5DA13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552E1A5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0B3E6EE4">
      <w:pPr>
        <w:pStyle w:val="9"/>
        <w:rPr>
          <w:rFonts w:hint="eastAsia" w:ascii="仿宋" w:hAnsi="仿宋" w:eastAsia="仿宋"/>
          <w:sz w:val="24"/>
          <w:highlight w:val="none"/>
        </w:rPr>
      </w:pPr>
    </w:p>
    <w:p w14:paraId="6ED600E6">
      <w:pPr>
        <w:rPr>
          <w:highlight w:val="none"/>
        </w:rPr>
      </w:pPr>
      <w:r>
        <w:rPr>
          <w:highlight w:val="none"/>
        </w:rPr>
        <w:br w:type="page"/>
      </w:r>
    </w:p>
    <w:p w14:paraId="0A46ADE5">
      <w:pPr>
        <w:pStyle w:val="9"/>
        <w:rPr>
          <w:highlight w:val="none"/>
        </w:rPr>
      </w:pPr>
    </w:p>
    <w:p w14:paraId="2151E8E8">
      <w:pPr>
        <w:keepNext w:val="0"/>
        <w:keepLines w:val="0"/>
        <w:pageBreakBefore w:val="0"/>
        <w:kinsoku/>
        <w:wordWrap/>
        <w:overflowPunct/>
        <w:topLinePunct w:val="0"/>
        <w:autoSpaceDE/>
        <w:autoSpaceDN/>
        <w:bidi w:val="0"/>
        <w:snapToGrid/>
        <w:jc w:val="center"/>
        <w:textAlignment w:val="auto"/>
        <w:outlineLvl w:val="9"/>
        <w:rPr>
          <w:rFonts w:hint="eastAsia"/>
          <w:highlight w:val="none"/>
          <w:lang w:eastAsia="zh-CN"/>
        </w:rPr>
      </w:pPr>
      <w:r>
        <w:rPr>
          <w:rFonts w:hint="eastAsia" w:ascii="仿宋" w:hAnsi="仿宋" w:eastAsia="仿宋"/>
          <w:b/>
          <w:sz w:val="32"/>
          <w:szCs w:val="32"/>
          <w:highlight w:val="none"/>
        </w:rPr>
        <w:t>最后报价表</w:t>
      </w:r>
    </w:p>
    <w:tbl>
      <w:tblPr>
        <w:tblStyle w:val="24"/>
        <w:tblW w:w="0" w:type="auto"/>
        <w:tblInd w:w="0" w:type="dxa"/>
        <w:tblLayout w:type="fixed"/>
        <w:tblCellMar>
          <w:top w:w="0" w:type="dxa"/>
          <w:left w:w="108" w:type="dxa"/>
          <w:bottom w:w="0" w:type="dxa"/>
          <w:right w:w="108" w:type="dxa"/>
        </w:tblCellMar>
      </w:tblPr>
      <w:tblGrid>
        <w:gridCol w:w="1826"/>
        <w:gridCol w:w="1759"/>
        <w:gridCol w:w="1364"/>
        <w:gridCol w:w="4070"/>
      </w:tblGrid>
      <w:tr w14:paraId="442AFECB">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6971399A">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项目名称</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51737F80">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eastAsia="zh-CN"/>
              </w:rPr>
              <w:t>成都市技师学院郫都西校区工匠文化教育博览园铁道文化建设项目</w:t>
            </w:r>
          </w:p>
        </w:tc>
      </w:tr>
      <w:tr w14:paraId="50590281">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16D9649">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项目编号</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457011FA">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eastAsia="zh-CN"/>
              </w:rPr>
              <w:t>HT-【采】20241106</w:t>
            </w:r>
          </w:p>
        </w:tc>
      </w:tr>
      <w:tr w14:paraId="43931241">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75D8E6C3">
            <w:pPr>
              <w:tabs>
                <w:tab w:val="left" w:pos="7665"/>
              </w:tabs>
              <w:spacing w:line="276" w:lineRule="auto"/>
              <w:jc w:val="center"/>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采购包号</w:t>
            </w:r>
          </w:p>
          <w:p w14:paraId="1CA4A95B">
            <w:pPr>
              <w:tabs>
                <w:tab w:val="left" w:pos="7665"/>
              </w:tabs>
              <w:spacing w:line="276" w:lineRule="auto"/>
              <w:jc w:val="center"/>
              <w:rPr>
                <w:rFonts w:hint="eastAsia" w:ascii="仿宋" w:hAnsi="仿宋" w:eastAsia="仿宋" w:cs="仿宋"/>
                <w:b/>
                <w:bCs/>
                <w:kern w:val="0"/>
                <w:sz w:val="24"/>
                <w:highlight w:val="none"/>
                <w:lang w:eastAsia="zh-CN"/>
              </w:rPr>
            </w:pPr>
            <w:r>
              <w:rPr>
                <w:rFonts w:hint="eastAsia" w:ascii="仿宋" w:hAnsi="仿宋" w:eastAsia="仿宋" w:cs="仿宋"/>
                <w:b/>
                <w:bCs/>
                <w:kern w:val="0"/>
                <w:sz w:val="24"/>
                <w:highlight w:val="none"/>
                <w:lang w:eastAsia="zh-CN"/>
              </w:rPr>
              <w:t>（若有）</w:t>
            </w:r>
          </w:p>
        </w:tc>
        <w:tc>
          <w:tcPr>
            <w:tcW w:w="7193" w:type="dxa"/>
            <w:gridSpan w:val="3"/>
            <w:tcBorders>
              <w:top w:val="single" w:color="auto" w:sz="4" w:space="0"/>
              <w:left w:val="single" w:color="auto" w:sz="4" w:space="0"/>
              <w:bottom w:val="single" w:color="auto" w:sz="4" w:space="0"/>
              <w:right w:val="single" w:color="auto" w:sz="4" w:space="0"/>
            </w:tcBorders>
            <w:noWrap w:val="0"/>
            <w:vAlign w:val="center"/>
          </w:tcPr>
          <w:p w14:paraId="0C546344">
            <w:pPr>
              <w:tabs>
                <w:tab w:val="left" w:pos="7665"/>
              </w:tabs>
              <w:spacing w:line="276" w:lineRule="auto"/>
              <w:jc w:val="center"/>
              <w:rPr>
                <w:rFonts w:hint="eastAsia" w:ascii="仿宋" w:hAnsi="仿宋" w:eastAsia="仿宋" w:cs="仿宋"/>
                <w:b/>
                <w:bCs/>
                <w:kern w:val="0"/>
                <w:sz w:val="24"/>
                <w:highlight w:val="none"/>
                <w:lang w:eastAsia="zh-CN"/>
              </w:rPr>
            </w:pPr>
          </w:p>
        </w:tc>
      </w:tr>
      <w:tr w14:paraId="50DE2A4E">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12C60C8D">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2F1FAD7">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服务内容</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5FDADC11">
            <w:pPr>
              <w:tabs>
                <w:tab w:val="left" w:pos="7665"/>
              </w:tabs>
              <w:spacing w:line="276" w:lineRule="auto"/>
              <w:jc w:val="center"/>
              <w:rPr>
                <w:rFonts w:hint="eastAsia" w:ascii="仿宋" w:hAnsi="仿宋" w:eastAsia="仿宋" w:cs="仿宋"/>
                <w:b/>
                <w:bCs/>
                <w:kern w:val="0"/>
                <w:sz w:val="24"/>
                <w:highlight w:val="none"/>
                <w:lang w:val="en-US" w:eastAsia="zh-CN"/>
              </w:rPr>
            </w:pPr>
            <w:r>
              <w:rPr>
                <w:rFonts w:hint="eastAsia" w:ascii="仿宋" w:hAnsi="仿宋" w:eastAsia="仿宋" w:cs="仿宋"/>
                <w:b/>
                <w:bCs/>
                <w:kern w:val="0"/>
                <w:sz w:val="24"/>
                <w:highlight w:val="none"/>
                <w:lang w:val="en-US" w:eastAsia="zh-CN"/>
              </w:rPr>
              <w:t>服务时间</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2B5E3609">
            <w:pPr>
              <w:tabs>
                <w:tab w:val="left" w:pos="7665"/>
              </w:tabs>
              <w:spacing w:line="276" w:lineRule="auto"/>
              <w:jc w:val="center"/>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报价</w:t>
            </w:r>
          </w:p>
        </w:tc>
      </w:tr>
      <w:tr w14:paraId="3F0E2968">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2A87248D">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0EED465B">
            <w:pPr>
              <w:tabs>
                <w:tab w:val="left" w:pos="7665"/>
              </w:tabs>
              <w:spacing w:line="276" w:lineRule="auto"/>
              <w:jc w:val="center"/>
              <w:rPr>
                <w:rFonts w:hint="eastAsia"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356BE015">
            <w:pPr>
              <w:tabs>
                <w:tab w:val="left" w:pos="7665"/>
              </w:tabs>
              <w:spacing w:line="276" w:lineRule="auto"/>
              <w:jc w:val="center"/>
              <w:rPr>
                <w:rFonts w:hint="eastAsia"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44E830D1">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71957A37">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539A9AA4">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4DACC129">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2</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552FEBA7">
            <w:pPr>
              <w:tabs>
                <w:tab w:val="left" w:pos="7665"/>
              </w:tabs>
              <w:spacing w:line="276" w:lineRule="auto"/>
              <w:jc w:val="center"/>
              <w:rPr>
                <w:rFonts w:hint="eastAsia" w:ascii="仿宋" w:hAnsi="仿宋" w:eastAsia="仿宋" w:cs="仿宋"/>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14:paraId="4065C4A9">
            <w:pPr>
              <w:tabs>
                <w:tab w:val="left" w:pos="7665"/>
              </w:tabs>
              <w:spacing w:line="276" w:lineRule="auto"/>
              <w:jc w:val="center"/>
              <w:rPr>
                <w:rFonts w:hint="eastAsia" w:ascii="仿宋" w:hAnsi="仿宋" w:eastAsia="仿宋" w:cs="仿宋"/>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noWrap w:val="0"/>
            <w:vAlign w:val="center"/>
          </w:tcPr>
          <w:p w14:paraId="11D7D8E4">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35A5047D">
            <w:pPr>
              <w:tabs>
                <w:tab w:val="left" w:pos="7665"/>
              </w:tabs>
              <w:spacing w:line="276"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1412C7A6">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noWrap w:val="0"/>
            <w:vAlign w:val="center"/>
          </w:tcPr>
          <w:p w14:paraId="51EEC914">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4469574D">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w:t>
            </w:r>
          </w:p>
        </w:tc>
        <w:tc>
          <w:tcPr>
            <w:tcW w:w="1364" w:type="dxa"/>
            <w:tcBorders>
              <w:top w:val="single" w:color="auto" w:sz="4" w:space="0"/>
              <w:left w:val="single" w:color="auto" w:sz="4" w:space="0"/>
              <w:bottom w:val="single" w:color="auto" w:sz="4" w:space="0"/>
              <w:right w:val="single" w:color="auto" w:sz="4" w:space="0"/>
            </w:tcBorders>
            <w:noWrap w:val="0"/>
            <w:vAlign w:val="center"/>
          </w:tcPr>
          <w:p w14:paraId="6F73748E">
            <w:pPr>
              <w:tabs>
                <w:tab w:val="left" w:pos="7665"/>
              </w:tabs>
              <w:spacing w:line="276" w:lineRule="auto"/>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en-US" w:eastAsia="zh-CN"/>
              </w:rPr>
              <w:t>...</w:t>
            </w:r>
          </w:p>
        </w:tc>
        <w:tc>
          <w:tcPr>
            <w:tcW w:w="4070" w:type="dxa"/>
            <w:tcBorders>
              <w:top w:val="single" w:color="auto" w:sz="4" w:space="0"/>
              <w:left w:val="single" w:color="auto" w:sz="4" w:space="0"/>
              <w:bottom w:val="single" w:color="auto" w:sz="4" w:space="0"/>
              <w:right w:val="single" w:color="auto" w:sz="4" w:space="0"/>
            </w:tcBorders>
            <w:noWrap w:val="0"/>
            <w:vAlign w:val="center"/>
          </w:tcPr>
          <w:p w14:paraId="5BC27BC6">
            <w:pPr>
              <w:tabs>
                <w:tab w:val="left" w:pos="7665"/>
              </w:tabs>
              <w:spacing w:line="276" w:lineRule="auto"/>
              <w:jc w:val="center"/>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p>
          <w:p w14:paraId="3BCD77E8">
            <w:pPr>
              <w:tabs>
                <w:tab w:val="left" w:pos="7665"/>
              </w:tabs>
              <w:spacing w:line="276" w:lineRule="auto"/>
              <w:jc w:val="center"/>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r w14:paraId="0530034A">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noWrap w:val="0"/>
            <w:vAlign w:val="center"/>
          </w:tcPr>
          <w:p w14:paraId="2D122076">
            <w:pPr>
              <w:tabs>
                <w:tab w:val="left" w:pos="7665"/>
              </w:tabs>
              <w:spacing w:line="276" w:lineRule="auto"/>
              <w:jc w:val="center"/>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报价合计</w:t>
            </w:r>
          </w:p>
        </w:tc>
        <w:tc>
          <w:tcPr>
            <w:tcW w:w="5434" w:type="dxa"/>
            <w:gridSpan w:val="2"/>
            <w:tcBorders>
              <w:top w:val="single" w:color="auto" w:sz="4" w:space="0"/>
              <w:left w:val="single" w:color="auto" w:sz="4" w:space="0"/>
              <w:bottom w:val="single" w:color="auto" w:sz="4" w:space="0"/>
              <w:right w:val="single" w:color="auto" w:sz="4" w:space="0"/>
            </w:tcBorders>
            <w:noWrap w:val="0"/>
            <w:vAlign w:val="center"/>
          </w:tcPr>
          <w:p w14:paraId="1E34D7A8">
            <w:pPr>
              <w:tabs>
                <w:tab w:val="left" w:pos="7665"/>
              </w:tabs>
              <w:spacing w:line="276" w:lineRule="auto"/>
              <w:jc w:val="left"/>
              <w:rPr>
                <w:rFonts w:hint="eastAsia" w:ascii="仿宋" w:hAnsi="仿宋" w:eastAsia="仿宋" w:cs="仿宋"/>
                <w:kern w:val="0"/>
                <w:sz w:val="24"/>
                <w:highlight w:val="none"/>
              </w:rPr>
            </w:pP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rPr>
              <w:t>元</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大写：</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eastAsia="zh-CN"/>
              </w:rPr>
              <w:t>）</w:t>
            </w:r>
          </w:p>
        </w:tc>
      </w:tr>
    </w:tbl>
    <w:p w14:paraId="693BC5E1">
      <w:pPr>
        <w:keepNext w:val="0"/>
        <w:keepLines w:val="0"/>
        <w:pageBreakBefore w:val="0"/>
        <w:kinsoku/>
        <w:wordWrap/>
        <w:overflowPunct/>
        <w:topLinePunct w:val="0"/>
        <w:autoSpaceDE/>
        <w:autoSpaceDN/>
        <w:bidi w:val="0"/>
        <w:snapToGrid/>
        <w:textAlignment w:val="auto"/>
        <w:outlineLvl w:val="9"/>
        <w:rPr>
          <w:rFonts w:hint="default" w:eastAsia="仿宋"/>
          <w:highlight w:val="none"/>
          <w:lang w:val="en-US" w:eastAsia="zh-CN"/>
        </w:rPr>
      </w:pPr>
    </w:p>
    <w:p w14:paraId="023FCD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sz w:val="24"/>
          <w:szCs w:val="24"/>
          <w:highlight w:val="none"/>
          <w:lang w:val="en-US" w:eastAsia="zh-CN"/>
        </w:rPr>
        <w:t>注：</w:t>
      </w:r>
      <w:r>
        <w:rPr>
          <w:rFonts w:hint="eastAsia" w:ascii="Times New Roman" w:hAnsi="Times New Roman" w:eastAsia="仿宋" w:cs="Times New Roman"/>
          <w:b w:val="0"/>
          <w:kern w:val="2"/>
          <w:sz w:val="24"/>
          <w:szCs w:val="24"/>
          <w:highlight w:val="none"/>
          <w:lang w:val="en-US" w:eastAsia="zh-CN" w:bidi="ar-SA"/>
        </w:rPr>
        <w:t>1.供应商最后报价金额如与“报价一览表”中报价合计有差额，差额部分则按照同比例下浮原则处理。</w:t>
      </w:r>
    </w:p>
    <w:p w14:paraId="7C9B57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b/>
          <w:bCs/>
          <w:kern w:val="2"/>
          <w:sz w:val="24"/>
          <w:szCs w:val="24"/>
          <w:highlight w:val="none"/>
          <w:lang w:val="en-US" w:eastAsia="zh-CN" w:bidi="ar-SA"/>
        </w:rPr>
        <w:t>2.此表为磋商结束后，由供应商填写“最后报价表”</w:t>
      </w:r>
      <w:r>
        <w:rPr>
          <w:rFonts w:hint="eastAsia" w:ascii="Times New Roman" w:hAnsi="Times New Roman" w:eastAsia="仿宋" w:cs="Times New Roman"/>
          <w:b w:val="0"/>
          <w:kern w:val="2"/>
          <w:sz w:val="24"/>
          <w:szCs w:val="24"/>
          <w:highlight w:val="none"/>
          <w:lang w:val="en-US" w:eastAsia="zh-CN" w:bidi="ar-SA"/>
        </w:rPr>
        <w:t>，经供应商法定代表人/单位负责人或代理人签字后密封递交给采购代理机构工作人员，</w:t>
      </w:r>
      <w:r>
        <w:rPr>
          <w:rFonts w:hint="eastAsia" w:ascii="Times New Roman" w:hAnsi="Times New Roman" w:eastAsia="仿宋" w:cs="Times New Roman"/>
          <w:b/>
          <w:bCs/>
          <w:kern w:val="2"/>
          <w:sz w:val="24"/>
          <w:szCs w:val="24"/>
          <w:highlight w:val="none"/>
          <w:lang w:val="en-US" w:eastAsia="zh-CN" w:bidi="ar-SA"/>
        </w:rPr>
        <w:t>由其收集齐后集中递交磋商小组</w:t>
      </w:r>
      <w:r>
        <w:rPr>
          <w:rFonts w:hint="eastAsia" w:ascii="Times New Roman" w:hAnsi="Times New Roman" w:eastAsia="仿宋" w:cs="Times New Roman"/>
          <w:b w:val="0"/>
          <w:kern w:val="2"/>
          <w:sz w:val="24"/>
          <w:szCs w:val="24"/>
          <w:highlight w:val="none"/>
          <w:lang w:val="en-US" w:eastAsia="zh-CN" w:bidi="ar-SA"/>
        </w:rPr>
        <w:t>。供应商在响应文件中提交此表的，不影响其响应文件的有效性，其最后报价以磋商结束后提交的“最后报价表”为准。</w:t>
      </w:r>
    </w:p>
    <w:p w14:paraId="098F81B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outlineLvl w:val="9"/>
        <w:rPr>
          <w:rFonts w:hint="eastAsia" w:ascii="Times New Roman" w:hAnsi="Times New Roman" w:eastAsia="仿宋" w:cs="Times New Roman"/>
          <w:b w:val="0"/>
          <w:kern w:val="2"/>
          <w:sz w:val="24"/>
          <w:szCs w:val="24"/>
          <w:highlight w:val="none"/>
          <w:lang w:val="en-US" w:eastAsia="zh-CN" w:bidi="ar-SA"/>
        </w:rPr>
      </w:pPr>
      <w:r>
        <w:rPr>
          <w:rFonts w:hint="eastAsia" w:ascii="Times New Roman" w:hAnsi="Times New Roman" w:eastAsia="仿宋" w:cs="Times New Roman"/>
          <w:b w:val="0"/>
          <w:kern w:val="2"/>
          <w:sz w:val="24"/>
          <w:szCs w:val="24"/>
          <w:highlight w:val="none"/>
          <w:lang w:val="en-US" w:eastAsia="zh-CN" w:bidi="ar-SA"/>
        </w:rPr>
        <w:t>3.供应商可自行准备此表磋商现场备用。</w:t>
      </w:r>
    </w:p>
    <w:p w14:paraId="11048E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p>
    <w:p w14:paraId="1751C7E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068C5F0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14489F93">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53EF086C">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b/>
          <w:bCs/>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4</w:t>
      </w:r>
    </w:p>
    <w:p w14:paraId="0ADCA63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b/>
          <w:bCs/>
          <w:sz w:val="32"/>
          <w:szCs w:val="32"/>
          <w:highlight w:val="none"/>
        </w:rPr>
      </w:pPr>
      <w:r>
        <w:rPr>
          <w:rFonts w:hint="eastAsia" w:ascii="仿宋" w:hAnsi="仿宋" w:eastAsia="仿宋"/>
          <w:b/>
          <w:bCs/>
          <w:sz w:val="32"/>
          <w:szCs w:val="32"/>
          <w:highlight w:val="none"/>
        </w:rPr>
        <w:t>技术响应情况表</w:t>
      </w:r>
    </w:p>
    <w:p w14:paraId="18CAA677">
      <w:pPr>
        <w:keepNext w:val="0"/>
        <w:keepLines w:val="0"/>
        <w:pageBreakBefore w:val="0"/>
        <w:kinsoku/>
        <w:wordWrap/>
        <w:overflowPunct/>
        <w:topLinePunct w:val="0"/>
        <w:autoSpaceDE/>
        <w:autoSpaceDN/>
        <w:bidi w:val="0"/>
        <w:snapToGrid/>
        <w:textAlignment w:val="auto"/>
        <w:outlineLvl w:val="9"/>
        <w:rPr>
          <w:highlight w:val="none"/>
        </w:rPr>
      </w:pP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384"/>
        <w:gridCol w:w="2707"/>
        <w:gridCol w:w="2142"/>
      </w:tblGrid>
      <w:tr w14:paraId="4EBC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02E95E4D">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rPr>
            </w:pPr>
            <w:r>
              <w:rPr>
                <w:rFonts w:hint="eastAsia" w:ascii="仿宋" w:hAnsi="仿宋" w:eastAsia="仿宋" w:cs="仿宋"/>
                <w:b/>
                <w:bCs/>
                <w:sz w:val="24"/>
                <w:szCs w:val="24"/>
                <w:highlight w:val="none"/>
              </w:rPr>
              <w:t>序号</w:t>
            </w:r>
          </w:p>
        </w:tc>
        <w:tc>
          <w:tcPr>
            <w:tcW w:w="1844" w:type="pct"/>
            <w:noWrap w:val="0"/>
            <w:vAlign w:val="center"/>
          </w:tcPr>
          <w:p w14:paraId="1DA093E9">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lang w:eastAsia="zh-CN"/>
              </w:rPr>
            </w:pPr>
            <w:r>
              <w:rPr>
                <w:rFonts w:hint="eastAsia" w:ascii="仿宋" w:hAnsi="仿宋" w:eastAsia="仿宋" w:cs="仿宋"/>
                <w:b/>
                <w:bCs/>
                <w:sz w:val="24"/>
                <w:szCs w:val="24"/>
                <w:highlight w:val="none"/>
                <w:lang w:eastAsia="zh-CN"/>
              </w:rPr>
              <w:t>磋商</w:t>
            </w:r>
            <w:r>
              <w:rPr>
                <w:rFonts w:hint="eastAsia" w:ascii="仿宋" w:hAnsi="仿宋" w:eastAsia="仿宋" w:cs="仿宋"/>
                <w:b/>
                <w:bCs/>
                <w:sz w:val="24"/>
                <w:szCs w:val="24"/>
                <w:highlight w:val="none"/>
              </w:rPr>
              <w:t>文件</w:t>
            </w:r>
            <w:r>
              <w:rPr>
                <w:rFonts w:hint="eastAsia" w:ascii="仿宋" w:hAnsi="仿宋" w:eastAsia="仿宋" w:cs="仿宋"/>
                <w:b/>
                <w:bCs/>
                <w:sz w:val="24"/>
                <w:szCs w:val="24"/>
                <w:highlight w:val="none"/>
                <w:lang w:eastAsia="zh-CN"/>
              </w:rPr>
              <w:t>要求</w:t>
            </w:r>
          </w:p>
        </w:tc>
        <w:tc>
          <w:tcPr>
            <w:tcW w:w="1475" w:type="pct"/>
            <w:noWrap w:val="0"/>
            <w:vAlign w:val="center"/>
          </w:tcPr>
          <w:p w14:paraId="513BDABE">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2"/>
                <w:szCs w:val="22"/>
                <w:highlight w:val="none"/>
                <w:lang w:eastAsia="zh-CN"/>
              </w:rPr>
            </w:pPr>
            <w:r>
              <w:rPr>
                <w:rFonts w:hint="eastAsia" w:ascii="仿宋" w:hAnsi="仿宋" w:eastAsia="仿宋" w:cs="仿宋"/>
                <w:b/>
                <w:bCs/>
                <w:sz w:val="24"/>
                <w:szCs w:val="24"/>
                <w:highlight w:val="none"/>
              </w:rPr>
              <w:t>响应</w:t>
            </w:r>
            <w:r>
              <w:rPr>
                <w:rFonts w:hint="eastAsia" w:ascii="仿宋" w:hAnsi="仿宋" w:eastAsia="仿宋" w:cs="仿宋"/>
                <w:b/>
                <w:bCs/>
                <w:sz w:val="24"/>
                <w:szCs w:val="24"/>
                <w:highlight w:val="none"/>
                <w:lang w:eastAsia="zh-CN"/>
              </w:rPr>
              <w:t>内容</w:t>
            </w:r>
          </w:p>
        </w:tc>
        <w:tc>
          <w:tcPr>
            <w:tcW w:w="1167" w:type="pct"/>
            <w:noWrap w:val="0"/>
            <w:vAlign w:val="center"/>
          </w:tcPr>
          <w:p w14:paraId="56E8CD53">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偏离情况</w:t>
            </w:r>
          </w:p>
        </w:tc>
      </w:tr>
      <w:tr w14:paraId="1A1B5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6F4C664">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11424F54">
            <w:pPr>
              <w:pStyle w:val="52"/>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066826D1">
            <w:pPr>
              <w:pStyle w:val="52"/>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17CF9AD9">
            <w:pPr>
              <w:pStyle w:val="52"/>
              <w:keepNext w:val="0"/>
              <w:keepLines w:val="0"/>
              <w:pageBreakBefore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sz w:val="21"/>
                <w:szCs w:val="21"/>
                <w:highlight w:val="none"/>
              </w:rPr>
            </w:pPr>
          </w:p>
        </w:tc>
      </w:tr>
      <w:tr w14:paraId="5CE0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6F9818AB">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20DC8FF7">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1C81F53">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3614AD9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74C1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AAE562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6DA7FBE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6E0910C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3C8AF33F">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49BE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3A7ED2D1">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570D9A62">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8EC3BD5">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53736BBE">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0BB0B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50BF2296">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6C2CBFC7">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253A4524">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07BFE437">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1B5B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9BCC191">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75B4C8D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7F4077AB">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69FC9AF8">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193C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2" w:type="pct"/>
            <w:noWrap w:val="0"/>
            <w:vAlign w:val="center"/>
          </w:tcPr>
          <w:p w14:paraId="1F25193C">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48EB0B60">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610F5582">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53EA3164">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r w14:paraId="0157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12" w:type="pct"/>
            <w:noWrap w:val="0"/>
            <w:vAlign w:val="center"/>
          </w:tcPr>
          <w:p w14:paraId="649CF036">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844" w:type="pct"/>
            <w:noWrap w:val="0"/>
            <w:vAlign w:val="center"/>
          </w:tcPr>
          <w:p w14:paraId="786A1BA2">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475" w:type="pct"/>
            <w:noWrap w:val="0"/>
            <w:vAlign w:val="center"/>
          </w:tcPr>
          <w:p w14:paraId="01B0AD2D">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c>
          <w:tcPr>
            <w:tcW w:w="1167" w:type="pct"/>
            <w:noWrap w:val="0"/>
            <w:vAlign w:val="center"/>
          </w:tcPr>
          <w:p w14:paraId="15ACA7CA">
            <w:pPr>
              <w:pStyle w:val="52"/>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sz w:val="21"/>
                <w:szCs w:val="21"/>
                <w:highlight w:val="none"/>
              </w:rPr>
            </w:pPr>
          </w:p>
        </w:tc>
      </w:tr>
    </w:tbl>
    <w:p w14:paraId="3AEBE70D">
      <w:pPr>
        <w:keepNext w:val="0"/>
        <w:keepLines w:val="0"/>
        <w:pageBreakBefore w:val="0"/>
        <w:kinsoku/>
        <w:wordWrap/>
        <w:overflowPunct/>
        <w:topLinePunct w:val="0"/>
        <w:autoSpaceDE/>
        <w:autoSpaceDN/>
        <w:bidi w:val="0"/>
        <w:snapToGrid/>
        <w:ind w:firstLine="482" w:firstLineChars="200"/>
        <w:textAlignment w:val="auto"/>
        <w:outlineLvl w:val="9"/>
        <w:rPr>
          <w:rFonts w:ascii="仿宋" w:hAnsi="仿宋" w:eastAsia="仿宋"/>
          <w:b/>
          <w:sz w:val="24"/>
          <w:highlight w:val="none"/>
        </w:rPr>
      </w:pPr>
    </w:p>
    <w:p w14:paraId="3F39A6DC">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57043A9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1.供应商根据磋商文件“第四章”“技术服务要求”的顺序，逐条对应填写；</w:t>
      </w:r>
    </w:p>
    <w:p w14:paraId="70A2DF4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48953A1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3.供应商必须据实填写，不得虚假响应，否则将取消成交资格。</w:t>
      </w:r>
    </w:p>
    <w:p w14:paraId="05870758">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sz w:val="24"/>
          <w:highlight w:val="none"/>
        </w:rPr>
      </w:pPr>
    </w:p>
    <w:p w14:paraId="4C2F15C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09BA2F7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69EB4C8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78FCCF82">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267E7C41">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5</w:t>
      </w:r>
    </w:p>
    <w:p w14:paraId="3C895CE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center"/>
        <w:textAlignment w:val="auto"/>
        <w:outlineLvl w:val="9"/>
        <w:rPr>
          <w:rFonts w:hint="eastAsia" w:ascii="仿宋" w:hAnsi="仿宋" w:eastAsia="仿宋"/>
          <w:b/>
          <w:sz w:val="36"/>
          <w:szCs w:val="36"/>
          <w:highlight w:val="none"/>
          <w:lang w:eastAsia="zh-CN"/>
        </w:rPr>
      </w:pPr>
      <w:r>
        <w:rPr>
          <w:rFonts w:hint="eastAsia" w:ascii="仿宋" w:hAnsi="仿宋" w:eastAsia="仿宋"/>
          <w:b/>
          <w:sz w:val="36"/>
          <w:szCs w:val="36"/>
          <w:highlight w:val="none"/>
          <w:lang w:val="en-US" w:eastAsia="zh-CN"/>
        </w:rPr>
        <w:t>商务</w:t>
      </w:r>
      <w:r>
        <w:rPr>
          <w:rFonts w:hint="eastAsia" w:ascii="仿宋" w:hAnsi="仿宋" w:eastAsia="仿宋"/>
          <w:b/>
          <w:sz w:val="36"/>
          <w:szCs w:val="36"/>
          <w:highlight w:val="none"/>
          <w:lang w:eastAsia="zh-CN"/>
        </w:rPr>
        <w:t>要求应答表</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3244"/>
        <w:gridCol w:w="2890"/>
        <w:gridCol w:w="1994"/>
      </w:tblGrid>
      <w:tr w14:paraId="3F5A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68" w:type="pct"/>
            <w:noWrap w:val="0"/>
            <w:vAlign w:val="center"/>
          </w:tcPr>
          <w:p w14:paraId="301492FE">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244" w:type="dxa"/>
            <w:noWrap w:val="0"/>
            <w:vAlign w:val="center"/>
          </w:tcPr>
          <w:p w14:paraId="3332663F">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highlight w:val="none"/>
              </w:rPr>
            </w:pPr>
            <w:r>
              <w:rPr>
                <w:rFonts w:hint="eastAsia" w:ascii="仿宋" w:hAnsi="仿宋" w:eastAsia="仿宋" w:cs="仿宋"/>
                <w:b/>
                <w:bCs/>
                <w:sz w:val="24"/>
                <w:szCs w:val="24"/>
                <w:highlight w:val="none"/>
                <w:lang w:eastAsia="zh-CN"/>
              </w:rPr>
              <w:t>磋商</w:t>
            </w:r>
            <w:r>
              <w:rPr>
                <w:rFonts w:hint="eastAsia" w:ascii="仿宋" w:hAnsi="仿宋" w:eastAsia="仿宋" w:cs="仿宋"/>
                <w:b/>
                <w:bCs/>
                <w:sz w:val="24"/>
                <w:szCs w:val="24"/>
                <w:highlight w:val="none"/>
              </w:rPr>
              <w:t>文件</w:t>
            </w:r>
            <w:r>
              <w:rPr>
                <w:rFonts w:hint="eastAsia" w:ascii="仿宋" w:hAnsi="仿宋" w:eastAsia="仿宋" w:cs="仿宋"/>
                <w:b/>
                <w:bCs/>
                <w:sz w:val="24"/>
                <w:szCs w:val="24"/>
                <w:highlight w:val="none"/>
                <w:lang w:eastAsia="zh-CN"/>
              </w:rPr>
              <w:t>要求</w:t>
            </w:r>
          </w:p>
        </w:tc>
        <w:tc>
          <w:tcPr>
            <w:tcW w:w="2889" w:type="dxa"/>
            <w:noWrap w:val="0"/>
            <w:vAlign w:val="center"/>
          </w:tcPr>
          <w:p w14:paraId="655CBACF">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szCs w:val="24"/>
                <w:highlight w:val="none"/>
              </w:rPr>
              <w:t>响应</w:t>
            </w:r>
            <w:r>
              <w:rPr>
                <w:rFonts w:hint="eastAsia" w:ascii="仿宋" w:hAnsi="仿宋" w:eastAsia="仿宋" w:cs="仿宋"/>
                <w:b/>
                <w:bCs/>
                <w:sz w:val="24"/>
                <w:szCs w:val="24"/>
                <w:highlight w:val="none"/>
                <w:lang w:eastAsia="zh-CN"/>
              </w:rPr>
              <w:t>内容</w:t>
            </w:r>
          </w:p>
        </w:tc>
        <w:tc>
          <w:tcPr>
            <w:tcW w:w="1087" w:type="pct"/>
            <w:noWrap w:val="0"/>
            <w:vAlign w:val="center"/>
          </w:tcPr>
          <w:p w14:paraId="3599A0F3">
            <w:pPr>
              <w:kinsoku/>
              <w:wordWrap/>
              <w:overflowPunct/>
              <w:topLinePunct w:val="0"/>
              <w:autoSpaceDE/>
              <w:autoSpaceDN/>
              <w:bidi w:val="0"/>
              <w:adjustRightInd/>
              <w:jc w:val="center"/>
              <w:textAlignment w:val="auto"/>
              <w:outlineLvl w:val="9"/>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偏离情况</w:t>
            </w:r>
          </w:p>
        </w:tc>
      </w:tr>
      <w:tr w14:paraId="3994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3C288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909D5D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4BFD877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1CCEAA3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AF6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330722D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07AD7A9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2F5AC49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3D5C43C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2208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1FEFB6D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5929B98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08ED59C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33CBE41">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2264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54B94ECB">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38829B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2CF9894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8E9413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04E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681EC0D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29109E7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3EBF0B92">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2B83E7E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611A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68" w:type="pct"/>
            <w:noWrap w:val="0"/>
            <w:vAlign w:val="top"/>
          </w:tcPr>
          <w:p w14:paraId="4B451FD8">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3E8079D9">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66E17FB">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46F7F764">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r w14:paraId="7E90C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68" w:type="pct"/>
            <w:noWrap w:val="0"/>
            <w:vAlign w:val="top"/>
          </w:tcPr>
          <w:p w14:paraId="0EB8AAED">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768" w:type="pct"/>
            <w:noWrap w:val="0"/>
            <w:vAlign w:val="top"/>
          </w:tcPr>
          <w:p w14:paraId="43EA527E">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575" w:type="pct"/>
            <w:noWrap w:val="0"/>
            <w:vAlign w:val="top"/>
          </w:tcPr>
          <w:p w14:paraId="577A55B6">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c>
          <w:tcPr>
            <w:tcW w:w="1087" w:type="pct"/>
            <w:noWrap w:val="0"/>
            <w:vAlign w:val="top"/>
          </w:tcPr>
          <w:p w14:paraId="2883CD9C">
            <w:pPr>
              <w:kinsoku/>
              <w:wordWrap/>
              <w:overflowPunct/>
              <w:topLinePunct w:val="0"/>
              <w:autoSpaceDE/>
              <w:autoSpaceDN/>
              <w:bidi w:val="0"/>
              <w:adjustRightInd/>
              <w:textAlignment w:val="auto"/>
              <w:outlineLvl w:val="9"/>
              <w:rPr>
                <w:rFonts w:hint="eastAsia" w:ascii="仿宋" w:hAnsi="仿宋" w:eastAsia="仿宋" w:cs="仿宋"/>
                <w:sz w:val="24"/>
                <w:highlight w:val="none"/>
              </w:rPr>
            </w:pPr>
          </w:p>
        </w:tc>
      </w:tr>
    </w:tbl>
    <w:p w14:paraId="600B9E6A">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rPr>
      </w:pPr>
      <w:r>
        <w:rPr>
          <w:rFonts w:hint="eastAsia" w:ascii="仿宋" w:hAnsi="仿宋" w:eastAsia="仿宋"/>
          <w:b/>
          <w:bCs/>
          <w:sz w:val="24"/>
          <w:highlight w:val="none"/>
        </w:rPr>
        <w:t>注：</w:t>
      </w:r>
    </w:p>
    <w:p w14:paraId="38269E6E">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1.供应商根据磋商文件“第四章”“商务要求”的顺序，逐条对应填写；</w:t>
      </w:r>
    </w:p>
    <w:p w14:paraId="55E14EE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eastAsia" w:ascii="仿宋" w:hAnsi="仿宋" w:eastAsia="仿宋"/>
          <w:b/>
          <w:bCs/>
          <w:sz w:val="24"/>
          <w:highlight w:val="none"/>
          <w:lang w:val="en-US" w:eastAsia="zh-CN"/>
        </w:rPr>
      </w:pPr>
      <w:r>
        <w:rPr>
          <w:rFonts w:hint="eastAsia" w:ascii="仿宋" w:hAnsi="仿宋" w:eastAsia="仿宋"/>
          <w:b/>
          <w:bCs/>
          <w:sz w:val="24"/>
          <w:highlight w:val="none"/>
          <w:lang w:val="en-US" w:eastAsia="zh-CN"/>
        </w:rPr>
        <w:t>2.若无偏离，可在偏离情况中填“/”；若有偏离，需在偏离情况中进行说明；</w:t>
      </w:r>
    </w:p>
    <w:p w14:paraId="5FAA2FF5">
      <w:pPr>
        <w:keepNext w:val="0"/>
        <w:keepLines w:val="0"/>
        <w:pageBreakBefore w:val="0"/>
        <w:widowControl/>
        <w:kinsoku/>
        <w:wordWrap/>
        <w:overflowPunct/>
        <w:topLinePunct w:val="0"/>
        <w:autoSpaceDE/>
        <w:autoSpaceDN/>
        <w:bidi w:val="0"/>
        <w:adjustRightInd/>
        <w:snapToGrid/>
        <w:spacing w:line="360" w:lineRule="auto"/>
        <w:ind w:firstLine="472" w:firstLineChars="196"/>
        <w:jc w:val="left"/>
        <w:textAlignment w:val="auto"/>
        <w:outlineLvl w:val="9"/>
        <w:rPr>
          <w:rFonts w:hint="default" w:ascii="仿宋" w:hAnsi="仿宋" w:eastAsia="仿宋"/>
          <w:b/>
          <w:bCs/>
          <w:sz w:val="24"/>
          <w:highlight w:val="none"/>
          <w:lang w:val="en-US" w:eastAsia="zh-CN"/>
        </w:rPr>
      </w:pPr>
      <w:r>
        <w:rPr>
          <w:rFonts w:hint="eastAsia" w:ascii="仿宋" w:hAnsi="仿宋" w:eastAsia="仿宋"/>
          <w:b/>
          <w:bCs/>
          <w:sz w:val="24"/>
          <w:highlight w:val="none"/>
          <w:lang w:val="en-US" w:eastAsia="zh-CN"/>
        </w:rPr>
        <w:t>3.供应商必须据实填写，不得虚假响应，否则将取消成交资格。</w:t>
      </w:r>
    </w:p>
    <w:p w14:paraId="4506F1C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p>
    <w:p w14:paraId="2EEC8D2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4E1FEA2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41A5A2F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日    期：XXXX</w:t>
      </w:r>
    </w:p>
    <w:p w14:paraId="4DDEDC00">
      <w:pPr>
        <w:pStyle w:val="9"/>
        <w:rPr>
          <w:rFonts w:hint="eastAsia" w:ascii="仿宋" w:hAnsi="仿宋" w:eastAsia="仿宋"/>
          <w:sz w:val="24"/>
          <w:highlight w:val="none"/>
        </w:rPr>
      </w:pPr>
    </w:p>
    <w:p w14:paraId="52203634">
      <w:pPr>
        <w:rPr>
          <w:rFonts w:hint="eastAsia" w:ascii="仿宋" w:hAnsi="仿宋" w:eastAsia="仿宋" w:cstheme="minorBidi"/>
          <w:b/>
          <w:kern w:val="2"/>
          <w:sz w:val="32"/>
          <w:szCs w:val="32"/>
          <w:highlight w:val="none"/>
          <w:lang w:val="en-US" w:eastAsia="zh-CN" w:bidi="ar-SA"/>
        </w:rPr>
      </w:pPr>
      <w:r>
        <w:rPr>
          <w:rFonts w:hint="eastAsia" w:ascii="仿宋" w:hAnsi="仿宋" w:eastAsia="仿宋" w:cstheme="minorBidi"/>
          <w:b/>
          <w:kern w:val="2"/>
          <w:sz w:val="32"/>
          <w:szCs w:val="32"/>
          <w:highlight w:val="none"/>
          <w:lang w:val="en-US" w:eastAsia="zh-CN" w:bidi="ar-SA"/>
        </w:rPr>
        <w:br w:type="page"/>
      </w:r>
    </w:p>
    <w:p w14:paraId="433C7F96">
      <w:pPr>
        <w:keepNext w:val="0"/>
        <w:keepLines w:val="0"/>
        <w:pageBreakBefore w:val="0"/>
        <w:widowControl/>
        <w:kinsoku/>
        <w:wordWrap/>
        <w:overflowPunct/>
        <w:topLinePunct w:val="0"/>
        <w:autoSpaceDE/>
        <w:autoSpaceDN/>
        <w:bidi w:val="0"/>
        <w:snapToGrid/>
        <w:jc w:val="left"/>
        <w:textAlignment w:val="auto"/>
        <w:outlineLvl w:val="9"/>
        <w:rPr>
          <w:rFonts w:hint="default" w:ascii="仿宋" w:hAnsi="仿宋" w:eastAsia="仿宋"/>
          <w:sz w:val="24"/>
          <w:highlight w:val="none"/>
          <w:lang w:val="en-US"/>
        </w:rPr>
      </w:pPr>
      <w:r>
        <w:rPr>
          <w:rFonts w:hint="eastAsia" w:ascii="仿宋" w:hAnsi="仿宋" w:eastAsia="仿宋" w:cstheme="minorBidi"/>
          <w:b/>
          <w:kern w:val="2"/>
          <w:sz w:val="32"/>
          <w:szCs w:val="32"/>
          <w:highlight w:val="none"/>
          <w:lang w:val="en-US" w:eastAsia="zh-CN" w:bidi="ar-SA"/>
        </w:rPr>
        <w:t>格式2-6</w:t>
      </w:r>
    </w:p>
    <w:p w14:paraId="0F9A998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sz w:val="32"/>
          <w:szCs w:val="32"/>
          <w:highlight w:val="none"/>
        </w:rPr>
      </w:pPr>
      <w:r>
        <w:rPr>
          <w:rFonts w:hint="eastAsia" w:ascii="仿宋" w:hAnsi="仿宋" w:eastAsia="仿宋" w:cs="Arial"/>
          <w:b/>
          <w:bCs/>
          <w:sz w:val="32"/>
          <w:szCs w:val="32"/>
          <w:highlight w:val="none"/>
        </w:rPr>
        <w:t>供应商类似项目业绩一览表</w:t>
      </w:r>
    </w:p>
    <w:p w14:paraId="54C293AF">
      <w:pPr>
        <w:pStyle w:val="30"/>
        <w:pageBreakBefore w:val="0"/>
        <w:kinsoku/>
        <w:wordWrap/>
        <w:overflowPunct/>
        <w:topLinePunct w:val="0"/>
        <w:autoSpaceDE/>
        <w:autoSpaceDN/>
        <w:bidi w:val="0"/>
        <w:snapToGrid/>
        <w:textAlignment w:val="auto"/>
        <w:outlineLvl w:val="9"/>
        <w:rPr>
          <w:rFonts w:hint="eastAsia"/>
          <w:highlight w:val="none"/>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7"/>
        <w:gridCol w:w="1608"/>
        <w:gridCol w:w="1377"/>
        <w:gridCol w:w="10"/>
      </w:tblGrid>
      <w:tr w14:paraId="53F657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78073D8">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highlight w:val="none"/>
              </w:rPr>
            </w:pPr>
            <w:r>
              <w:rPr>
                <w:rFonts w:hint="eastAsia" w:ascii="仿宋" w:hAnsi="仿宋" w:eastAsia="仿宋" w:cs="Arial"/>
                <w:b/>
                <w:highlight w:val="none"/>
              </w:rPr>
              <w:t>年份</w:t>
            </w:r>
          </w:p>
        </w:tc>
        <w:tc>
          <w:tcPr>
            <w:tcW w:w="1439" w:type="dxa"/>
            <w:vAlign w:val="center"/>
          </w:tcPr>
          <w:p w14:paraId="6D036EF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用户名称</w:t>
            </w:r>
          </w:p>
        </w:tc>
        <w:tc>
          <w:tcPr>
            <w:tcW w:w="1319" w:type="dxa"/>
            <w:vAlign w:val="center"/>
          </w:tcPr>
          <w:p w14:paraId="3D8061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ascii="仿宋" w:hAnsi="仿宋" w:eastAsia="仿宋" w:cs="Arial"/>
                <w:b/>
                <w:highlight w:val="none"/>
              </w:rPr>
              <w:t>项目名称</w:t>
            </w:r>
          </w:p>
        </w:tc>
        <w:tc>
          <w:tcPr>
            <w:tcW w:w="1160" w:type="dxa"/>
            <w:vAlign w:val="center"/>
          </w:tcPr>
          <w:p w14:paraId="3DD969F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ascii="仿宋" w:hAnsi="仿宋" w:eastAsia="仿宋" w:cs="Arial"/>
                <w:b/>
                <w:highlight w:val="none"/>
              </w:rPr>
              <w:t>完成时间</w:t>
            </w:r>
          </w:p>
        </w:tc>
        <w:tc>
          <w:tcPr>
            <w:tcW w:w="1427" w:type="dxa"/>
            <w:vAlign w:val="center"/>
          </w:tcPr>
          <w:p w14:paraId="1ECF6B86">
            <w:pPr>
              <w:keepNext w:val="0"/>
              <w:keepLines w:val="0"/>
              <w:pageBreakBefore w:val="0"/>
              <w:kinsoku/>
              <w:wordWrap/>
              <w:overflowPunct/>
              <w:topLinePunct w:val="0"/>
              <w:autoSpaceDE/>
              <w:autoSpaceDN/>
              <w:bidi w:val="0"/>
              <w:snapToGrid/>
              <w:spacing w:line="400" w:lineRule="exact"/>
              <w:ind w:firstLine="105" w:firstLineChars="50"/>
              <w:jc w:val="center"/>
              <w:textAlignment w:val="auto"/>
              <w:outlineLvl w:val="9"/>
              <w:rPr>
                <w:rFonts w:ascii="仿宋" w:hAnsi="仿宋" w:eastAsia="仿宋" w:cs="Arial"/>
                <w:b/>
                <w:highlight w:val="none"/>
              </w:rPr>
            </w:pPr>
            <w:r>
              <w:rPr>
                <w:rFonts w:ascii="仿宋" w:hAnsi="仿宋" w:eastAsia="仿宋" w:cs="Arial"/>
                <w:b/>
                <w:highlight w:val="none"/>
              </w:rPr>
              <w:t>合同金额</w:t>
            </w:r>
          </w:p>
        </w:tc>
        <w:tc>
          <w:tcPr>
            <w:tcW w:w="1608" w:type="dxa"/>
            <w:tcBorders>
              <w:right w:val="single" w:color="auto" w:sz="4" w:space="0"/>
            </w:tcBorders>
            <w:vAlign w:val="center"/>
          </w:tcPr>
          <w:p w14:paraId="102F7BB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是否通过验收</w:t>
            </w:r>
          </w:p>
        </w:tc>
        <w:tc>
          <w:tcPr>
            <w:tcW w:w="1387" w:type="dxa"/>
            <w:gridSpan w:val="2"/>
            <w:tcBorders>
              <w:left w:val="single" w:color="auto" w:sz="4" w:space="0"/>
            </w:tcBorders>
            <w:vAlign w:val="center"/>
          </w:tcPr>
          <w:p w14:paraId="182F042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b/>
                <w:highlight w:val="none"/>
              </w:rPr>
            </w:pPr>
            <w:r>
              <w:rPr>
                <w:rFonts w:hint="eastAsia" w:ascii="仿宋" w:hAnsi="仿宋" w:eastAsia="仿宋" w:cs="Arial"/>
                <w:b/>
                <w:highlight w:val="none"/>
              </w:rPr>
              <w:t>备注</w:t>
            </w:r>
          </w:p>
        </w:tc>
      </w:tr>
      <w:tr w14:paraId="4F5E63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BD1B09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3E16F5E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0AD1697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5FBC2BE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3E8E7F8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4C990D0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1E22CFA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13118D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F26AEF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4B45568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08973F9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178164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07C074D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7F18B91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634E5EC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0BD27A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69CF52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2E49375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6675F4F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020A7B0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49F25E0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11B8B98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610A657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561D1B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B04AD9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right w:val="single" w:color="auto" w:sz="4" w:space="0"/>
            </w:tcBorders>
            <w:vAlign w:val="center"/>
          </w:tcPr>
          <w:p w14:paraId="6D4970F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left w:val="single" w:color="auto" w:sz="4" w:space="0"/>
            </w:tcBorders>
            <w:vAlign w:val="center"/>
          </w:tcPr>
          <w:p w14:paraId="3DBD61D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259AB1C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vAlign w:val="center"/>
          </w:tcPr>
          <w:p w14:paraId="63DF856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right w:val="single" w:color="auto" w:sz="4" w:space="0"/>
            </w:tcBorders>
            <w:vAlign w:val="center"/>
          </w:tcPr>
          <w:p w14:paraId="3D142BB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2AE539F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43386E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9E7331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39" w:type="dxa"/>
            <w:tcBorders>
              <w:left w:val="single" w:color="auto" w:sz="4" w:space="0"/>
              <w:right w:val="single" w:color="auto" w:sz="4" w:space="0"/>
            </w:tcBorders>
            <w:vAlign w:val="center"/>
          </w:tcPr>
          <w:p w14:paraId="01C90D66">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19" w:type="dxa"/>
            <w:tcBorders>
              <w:left w:val="single" w:color="auto" w:sz="4" w:space="0"/>
              <w:right w:val="single" w:color="auto" w:sz="4" w:space="0"/>
            </w:tcBorders>
            <w:vAlign w:val="center"/>
          </w:tcPr>
          <w:p w14:paraId="00EFAC8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160" w:type="dxa"/>
            <w:tcBorders>
              <w:left w:val="single" w:color="auto" w:sz="4" w:space="0"/>
              <w:right w:val="single" w:color="auto" w:sz="4" w:space="0"/>
            </w:tcBorders>
            <w:vAlign w:val="center"/>
          </w:tcPr>
          <w:p w14:paraId="746BD00C">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27" w:type="dxa"/>
            <w:tcBorders>
              <w:left w:val="single" w:color="auto" w:sz="4" w:space="0"/>
              <w:right w:val="single" w:color="auto" w:sz="4" w:space="0"/>
            </w:tcBorders>
            <w:vAlign w:val="center"/>
          </w:tcPr>
          <w:p w14:paraId="0293972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45ACB54B">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77" w:type="dxa"/>
            <w:tcBorders>
              <w:left w:val="single" w:color="auto" w:sz="4" w:space="0"/>
            </w:tcBorders>
            <w:vAlign w:val="center"/>
          </w:tcPr>
          <w:p w14:paraId="4BD7F6C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r>
      <w:tr w14:paraId="534875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9A4259">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39" w:type="dxa"/>
            <w:vAlign w:val="center"/>
          </w:tcPr>
          <w:p w14:paraId="72FD847B">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19" w:type="dxa"/>
            <w:vAlign w:val="center"/>
          </w:tcPr>
          <w:p w14:paraId="057AD73D">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160" w:type="dxa"/>
            <w:vAlign w:val="center"/>
          </w:tcPr>
          <w:p w14:paraId="2EBDC3F7">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427" w:type="dxa"/>
            <w:tcBorders>
              <w:right w:val="single" w:color="auto" w:sz="4" w:space="0"/>
            </w:tcBorders>
            <w:vAlign w:val="center"/>
          </w:tcPr>
          <w:p w14:paraId="5793C3AF">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7974DB04">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25D74AB8">
            <w:pPr>
              <w:keepNext w:val="0"/>
              <w:keepLines w:val="0"/>
              <w:pageBreakBefore w:val="0"/>
              <w:kinsoku/>
              <w:wordWrap/>
              <w:overflowPunct/>
              <w:topLinePunct w:val="0"/>
              <w:autoSpaceDE/>
              <w:autoSpaceDN/>
              <w:bidi w:val="0"/>
              <w:snapToGrid/>
              <w:spacing w:line="400" w:lineRule="exact"/>
              <w:textAlignment w:val="auto"/>
              <w:outlineLvl w:val="9"/>
              <w:rPr>
                <w:rFonts w:ascii="仿宋" w:hAnsi="仿宋" w:eastAsia="仿宋" w:cs="Arial"/>
                <w:highlight w:val="none"/>
              </w:rPr>
            </w:pPr>
          </w:p>
        </w:tc>
      </w:tr>
      <w:tr w14:paraId="472A0B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2C47B3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19740CF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6CE398D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71C8BCB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right w:val="single" w:color="auto" w:sz="4" w:space="0"/>
            </w:tcBorders>
            <w:vAlign w:val="center"/>
          </w:tcPr>
          <w:p w14:paraId="29121D4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2397B77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00C9C0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1BC14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65FBB0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vAlign w:val="center"/>
          </w:tcPr>
          <w:p w14:paraId="34E9D75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vAlign w:val="center"/>
          </w:tcPr>
          <w:p w14:paraId="751471A8">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vAlign w:val="center"/>
          </w:tcPr>
          <w:p w14:paraId="6524F1A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right w:val="single" w:color="auto" w:sz="4" w:space="0"/>
            </w:tcBorders>
            <w:vAlign w:val="center"/>
          </w:tcPr>
          <w:p w14:paraId="032BF82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right w:val="single" w:color="auto" w:sz="4" w:space="0"/>
            </w:tcBorders>
            <w:vAlign w:val="center"/>
          </w:tcPr>
          <w:p w14:paraId="18E01B2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tcBorders>
            <w:vAlign w:val="center"/>
          </w:tcPr>
          <w:p w14:paraId="595076F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3641AD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34FED86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bottom w:val="single" w:color="auto" w:sz="4" w:space="0"/>
            </w:tcBorders>
            <w:vAlign w:val="center"/>
          </w:tcPr>
          <w:p w14:paraId="0F5045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bottom w:val="single" w:color="auto" w:sz="4" w:space="0"/>
            </w:tcBorders>
            <w:vAlign w:val="center"/>
          </w:tcPr>
          <w:p w14:paraId="274D14A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bottom w:val="single" w:color="auto" w:sz="4" w:space="0"/>
            </w:tcBorders>
            <w:vAlign w:val="center"/>
          </w:tcPr>
          <w:p w14:paraId="47FFE76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bottom w:val="single" w:color="auto" w:sz="4" w:space="0"/>
              <w:right w:val="single" w:color="auto" w:sz="4" w:space="0"/>
            </w:tcBorders>
            <w:vAlign w:val="center"/>
          </w:tcPr>
          <w:p w14:paraId="1C51B39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left w:val="single" w:color="auto" w:sz="4" w:space="0"/>
              <w:bottom w:val="single" w:color="auto" w:sz="4" w:space="0"/>
              <w:right w:val="single" w:color="auto" w:sz="4" w:space="0"/>
            </w:tcBorders>
            <w:vAlign w:val="center"/>
          </w:tcPr>
          <w:p w14:paraId="6693DE3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left w:val="single" w:color="auto" w:sz="4" w:space="0"/>
              <w:bottom w:val="single" w:color="auto" w:sz="4" w:space="0"/>
            </w:tcBorders>
            <w:vAlign w:val="center"/>
          </w:tcPr>
          <w:p w14:paraId="22F99E1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71987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18EA5E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06428D64">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4460CBB5">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0AD6E93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164C3E12">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768461E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0B650A9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54866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EEF758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41FE393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17795C7A">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7651C79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4F3501F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5062CAF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556960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0E2BE1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49018F5C">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bottom w:val="single" w:color="auto" w:sz="4" w:space="0"/>
            </w:tcBorders>
            <w:vAlign w:val="center"/>
          </w:tcPr>
          <w:p w14:paraId="1A21B870">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bottom w:val="single" w:color="auto" w:sz="4" w:space="0"/>
            </w:tcBorders>
            <w:vAlign w:val="center"/>
          </w:tcPr>
          <w:p w14:paraId="3E78AF8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bottom w:val="single" w:color="auto" w:sz="4" w:space="0"/>
            </w:tcBorders>
            <w:vAlign w:val="center"/>
          </w:tcPr>
          <w:p w14:paraId="31F6AFF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bottom w:val="single" w:color="auto" w:sz="4" w:space="0"/>
              <w:right w:val="single" w:color="auto" w:sz="4" w:space="0"/>
            </w:tcBorders>
            <w:vAlign w:val="center"/>
          </w:tcPr>
          <w:p w14:paraId="34809DDB">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bottom w:val="single" w:color="auto" w:sz="4" w:space="0"/>
              <w:right w:val="single" w:color="auto" w:sz="4" w:space="0"/>
            </w:tcBorders>
            <w:vAlign w:val="center"/>
          </w:tcPr>
          <w:p w14:paraId="31D654C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bottom w:val="single" w:color="auto" w:sz="4" w:space="0"/>
            </w:tcBorders>
            <w:vAlign w:val="center"/>
          </w:tcPr>
          <w:p w14:paraId="20CF1906">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r w14:paraId="3DF5B0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9150B87">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39" w:type="dxa"/>
            <w:tcBorders>
              <w:top w:val="single" w:color="auto" w:sz="4" w:space="0"/>
            </w:tcBorders>
            <w:vAlign w:val="center"/>
          </w:tcPr>
          <w:p w14:paraId="7CC50FBD">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19" w:type="dxa"/>
            <w:tcBorders>
              <w:top w:val="single" w:color="auto" w:sz="4" w:space="0"/>
            </w:tcBorders>
            <w:vAlign w:val="center"/>
          </w:tcPr>
          <w:p w14:paraId="24EC152F">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160" w:type="dxa"/>
            <w:tcBorders>
              <w:top w:val="single" w:color="auto" w:sz="4" w:space="0"/>
            </w:tcBorders>
            <w:vAlign w:val="center"/>
          </w:tcPr>
          <w:p w14:paraId="1A867B8E">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427" w:type="dxa"/>
            <w:tcBorders>
              <w:top w:val="single" w:color="auto" w:sz="4" w:space="0"/>
              <w:right w:val="single" w:color="auto" w:sz="4" w:space="0"/>
            </w:tcBorders>
            <w:vAlign w:val="center"/>
          </w:tcPr>
          <w:p w14:paraId="25C73323">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608" w:type="dxa"/>
            <w:tcBorders>
              <w:top w:val="single" w:color="auto" w:sz="4" w:space="0"/>
              <w:left w:val="single" w:color="auto" w:sz="4" w:space="0"/>
              <w:right w:val="single" w:color="auto" w:sz="4" w:space="0"/>
            </w:tcBorders>
            <w:vAlign w:val="center"/>
          </w:tcPr>
          <w:p w14:paraId="21B650E1">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c>
          <w:tcPr>
            <w:tcW w:w="1387" w:type="dxa"/>
            <w:gridSpan w:val="2"/>
            <w:tcBorders>
              <w:top w:val="single" w:color="auto" w:sz="4" w:space="0"/>
              <w:left w:val="single" w:color="auto" w:sz="4" w:space="0"/>
            </w:tcBorders>
            <w:vAlign w:val="center"/>
          </w:tcPr>
          <w:p w14:paraId="436B03C9">
            <w:pPr>
              <w:keepNext w:val="0"/>
              <w:keepLines w:val="0"/>
              <w:pageBreakBefore w:val="0"/>
              <w:kinsoku/>
              <w:wordWrap/>
              <w:overflowPunct/>
              <w:topLinePunct w:val="0"/>
              <w:autoSpaceDE/>
              <w:autoSpaceDN/>
              <w:bidi w:val="0"/>
              <w:snapToGrid/>
              <w:spacing w:line="400" w:lineRule="exact"/>
              <w:jc w:val="center"/>
              <w:textAlignment w:val="auto"/>
              <w:outlineLvl w:val="9"/>
              <w:rPr>
                <w:rFonts w:ascii="仿宋" w:hAnsi="仿宋" w:eastAsia="仿宋" w:cs="Arial"/>
                <w:highlight w:val="none"/>
              </w:rPr>
            </w:pPr>
          </w:p>
        </w:tc>
      </w:tr>
    </w:tbl>
    <w:p w14:paraId="3CBBF8E7">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cs="Arial"/>
          <w:sz w:val="24"/>
          <w:highlight w:val="none"/>
        </w:rPr>
      </w:pPr>
    </w:p>
    <w:p w14:paraId="53BE6B88">
      <w:pPr>
        <w:keepNext w:val="0"/>
        <w:keepLines w:val="0"/>
        <w:pageBreakBefore w:val="0"/>
        <w:widowControl/>
        <w:kinsoku/>
        <w:wordWrap/>
        <w:overflowPunct/>
        <w:topLinePunct w:val="0"/>
        <w:autoSpaceDE/>
        <w:autoSpaceDN/>
        <w:bidi w:val="0"/>
        <w:snapToGrid/>
        <w:spacing w:line="360" w:lineRule="atLeast"/>
        <w:ind w:firstLine="470" w:firstLineChars="196"/>
        <w:jc w:val="left"/>
        <w:textAlignment w:val="auto"/>
        <w:outlineLvl w:val="9"/>
        <w:rPr>
          <w:rFonts w:ascii="仿宋" w:hAnsi="仿宋" w:eastAsia="仿宋"/>
          <w:sz w:val="24"/>
          <w:highlight w:val="none"/>
        </w:rPr>
      </w:pPr>
      <w:r>
        <w:rPr>
          <w:rFonts w:hint="eastAsia" w:ascii="仿宋" w:hAnsi="仿宋" w:eastAsia="仿宋" w:cs="Arial"/>
          <w:sz w:val="24"/>
          <w:highlight w:val="none"/>
        </w:rPr>
        <w:t>注：</w:t>
      </w:r>
      <w:r>
        <w:rPr>
          <w:rFonts w:hint="eastAsia" w:ascii="仿宋" w:hAnsi="仿宋" w:eastAsia="仿宋"/>
          <w:sz w:val="24"/>
          <w:highlight w:val="none"/>
        </w:rPr>
        <w:t>以上业绩需提供</w:t>
      </w:r>
      <w:r>
        <w:rPr>
          <w:rFonts w:hint="eastAsia" w:ascii="仿宋" w:hAnsi="仿宋" w:eastAsia="仿宋"/>
          <w:sz w:val="24"/>
          <w:highlight w:val="none"/>
          <w:lang w:eastAsia="zh-CN"/>
        </w:rPr>
        <w:t>磋商</w:t>
      </w:r>
      <w:r>
        <w:rPr>
          <w:rFonts w:hint="eastAsia" w:ascii="仿宋" w:hAnsi="仿宋" w:eastAsia="仿宋"/>
          <w:sz w:val="24"/>
          <w:highlight w:val="none"/>
        </w:rPr>
        <w:t>文件要求的有关书面证明材料。</w:t>
      </w:r>
    </w:p>
    <w:p w14:paraId="33F1032B">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400" w:lineRule="exact"/>
        <w:ind w:firstLine="480" w:firstLineChars="200"/>
        <w:textAlignment w:val="auto"/>
        <w:outlineLvl w:val="9"/>
        <w:rPr>
          <w:rFonts w:ascii="仿宋" w:hAnsi="仿宋" w:eastAsia="仿宋" w:cs="Arial"/>
          <w:sz w:val="24"/>
          <w:highlight w:val="none"/>
        </w:rPr>
      </w:pPr>
    </w:p>
    <w:p w14:paraId="73B7DED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1DAB8B0A">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7375537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2E8A2E57">
      <w:pPr>
        <w:keepNext w:val="0"/>
        <w:keepLines w:val="0"/>
        <w:pageBreakBefore w:val="0"/>
        <w:widowControl/>
        <w:kinsoku/>
        <w:wordWrap/>
        <w:overflowPunct/>
        <w:topLinePunct w:val="0"/>
        <w:autoSpaceDE/>
        <w:autoSpaceDN/>
        <w:bidi w:val="0"/>
        <w:snapToGrid/>
        <w:jc w:val="left"/>
        <w:textAlignment w:val="auto"/>
        <w:outlineLvl w:val="9"/>
        <w:rPr>
          <w:rFonts w:ascii="仿宋" w:hAnsi="仿宋" w:eastAsia="仿宋"/>
          <w:sz w:val="24"/>
          <w:highlight w:val="none"/>
        </w:rPr>
      </w:pPr>
      <w:r>
        <w:rPr>
          <w:rFonts w:ascii="仿宋" w:hAnsi="仿宋" w:eastAsia="仿宋"/>
          <w:sz w:val="24"/>
          <w:highlight w:val="none"/>
        </w:rPr>
        <w:br w:type="page"/>
      </w:r>
    </w:p>
    <w:p w14:paraId="36F6AD8F">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7</w:t>
      </w:r>
    </w:p>
    <w:p w14:paraId="11E14BAE">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供应商本项目管理、技术、服务人员情况表</w:t>
      </w:r>
    </w:p>
    <w:p w14:paraId="30323CD1">
      <w:pPr>
        <w:pStyle w:val="9"/>
        <w:keepNext w:val="0"/>
        <w:keepLines w:val="0"/>
        <w:pageBreakBefore w:val="0"/>
        <w:kinsoku/>
        <w:wordWrap/>
        <w:overflowPunct/>
        <w:topLinePunct w:val="0"/>
        <w:autoSpaceDE/>
        <w:autoSpaceDN/>
        <w:bidi w:val="0"/>
        <w:snapToGrid/>
        <w:textAlignment w:val="auto"/>
        <w:outlineLvl w:val="9"/>
        <w:rPr>
          <w:b w:val="0"/>
          <w:bCs w:val="0"/>
          <w:highlight w:val="none"/>
        </w:rPr>
      </w:pPr>
    </w:p>
    <w:tbl>
      <w:tblPr>
        <w:tblStyle w:val="24"/>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988"/>
        <w:gridCol w:w="988"/>
        <w:gridCol w:w="988"/>
        <w:gridCol w:w="988"/>
        <w:gridCol w:w="988"/>
        <w:gridCol w:w="988"/>
        <w:gridCol w:w="988"/>
        <w:gridCol w:w="993"/>
      </w:tblGrid>
      <w:tr w14:paraId="3E8A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06ACD81">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类别</w:t>
            </w:r>
          </w:p>
        </w:tc>
        <w:tc>
          <w:tcPr>
            <w:tcW w:w="988" w:type="dxa"/>
            <w:vMerge w:val="restart"/>
            <w:vAlign w:val="center"/>
          </w:tcPr>
          <w:p w14:paraId="61AB62F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职务</w:t>
            </w:r>
          </w:p>
        </w:tc>
        <w:tc>
          <w:tcPr>
            <w:tcW w:w="988" w:type="dxa"/>
            <w:vMerge w:val="restart"/>
            <w:vAlign w:val="center"/>
          </w:tcPr>
          <w:p w14:paraId="49DBF43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姓名</w:t>
            </w:r>
          </w:p>
        </w:tc>
        <w:tc>
          <w:tcPr>
            <w:tcW w:w="988" w:type="dxa"/>
            <w:vMerge w:val="restart"/>
            <w:vAlign w:val="center"/>
          </w:tcPr>
          <w:p w14:paraId="7349341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职称</w:t>
            </w:r>
          </w:p>
        </w:tc>
        <w:tc>
          <w:tcPr>
            <w:tcW w:w="988" w:type="dxa"/>
            <w:vMerge w:val="restart"/>
            <w:vAlign w:val="center"/>
          </w:tcPr>
          <w:p w14:paraId="7A5A953F">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常住地</w:t>
            </w:r>
          </w:p>
        </w:tc>
        <w:tc>
          <w:tcPr>
            <w:tcW w:w="3957" w:type="dxa"/>
            <w:gridSpan w:val="4"/>
            <w:vAlign w:val="center"/>
          </w:tcPr>
          <w:p w14:paraId="2EB26B4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资格证明（附复印件）</w:t>
            </w:r>
          </w:p>
        </w:tc>
      </w:tr>
      <w:tr w14:paraId="127E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987" w:type="dxa"/>
            <w:vMerge w:val="continue"/>
            <w:vAlign w:val="center"/>
          </w:tcPr>
          <w:p w14:paraId="2E2E50C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025AED28">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3EDA97BD">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3469721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Merge w:val="continue"/>
            <w:vAlign w:val="center"/>
          </w:tcPr>
          <w:p w14:paraId="6431219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vAlign w:val="center"/>
          </w:tcPr>
          <w:p w14:paraId="38B4D8F6">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证书</w:t>
            </w:r>
          </w:p>
          <w:p w14:paraId="7AEB352B">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名称</w:t>
            </w:r>
          </w:p>
        </w:tc>
        <w:tc>
          <w:tcPr>
            <w:tcW w:w="988" w:type="dxa"/>
            <w:vAlign w:val="center"/>
          </w:tcPr>
          <w:p w14:paraId="1B101015">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级别</w:t>
            </w:r>
          </w:p>
        </w:tc>
        <w:tc>
          <w:tcPr>
            <w:tcW w:w="988" w:type="dxa"/>
            <w:vAlign w:val="center"/>
          </w:tcPr>
          <w:p w14:paraId="4D41C44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证号</w:t>
            </w:r>
          </w:p>
        </w:tc>
        <w:tc>
          <w:tcPr>
            <w:tcW w:w="993" w:type="dxa"/>
            <w:vAlign w:val="center"/>
          </w:tcPr>
          <w:p w14:paraId="665BBE04">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专业</w:t>
            </w:r>
          </w:p>
        </w:tc>
      </w:tr>
      <w:tr w14:paraId="4921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1BF98492">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管理</w:t>
            </w:r>
          </w:p>
          <w:p w14:paraId="3854091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人员</w:t>
            </w:r>
          </w:p>
        </w:tc>
        <w:tc>
          <w:tcPr>
            <w:tcW w:w="988" w:type="dxa"/>
          </w:tcPr>
          <w:p w14:paraId="7E46B3C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71A2C7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64837A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FAD4B4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751114A">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53EDDD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12EA4B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FF95E0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600E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89EC5E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70F0959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F4553B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DFEAC2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77787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B03491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F3E961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3843AA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B11FCD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7DE8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15BDF7E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5995226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1FEF4C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63C421">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948D50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C5FAED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1B7D19B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E7F3A8A">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0D6077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0E54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D51D59C">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技术</w:t>
            </w:r>
          </w:p>
          <w:p w14:paraId="3BECB76A">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人员</w:t>
            </w:r>
          </w:p>
        </w:tc>
        <w:tc>
          <w:tcPr>
            <w:tcW w:w="988" w:type="dxa"/>
          </w:tcPr>
          <w:p w14:paraId="37E2DFB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A34519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409C82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17A2E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BBE4E4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78458E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D6E9E9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1105FEB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7FE7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479ECE4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4B1505D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74A99E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012952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A52C8E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B67280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439298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C6EBAB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3BC5703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0D5B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vAlign w:val="center"/>
          </w:tcPr>
          <w:p w14:paraId="200DE7B9">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p>
        </w:tc>
        <w:tc>
          <w:tcPr>
            <w:tcW w:w="988" w:type="dxa"/>
          </w:tcPr>
          <w:p w14:paraId="4653A33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9E8319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4F07C7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A561E4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616A1B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C4871F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7276B7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32B94C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3825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restart"/>
            <w:vAlign w:val="center"/>
          </w:tcPr>
          <w:p w14:paraId="4627BA37">
            <w:pPr>
              <w:keepNext w:val="0"/>
              <w:keepLines w:val="0"/>
              <w:pageBreakBefore w:val="0"/>
              <w:kinsoku/>
              <w:wordWrap/>
              <w:overflowPunct/>
              <w:topLinePunct w:val="0"/>
              <w:autoSpaceDE/>
              <w:autoSpaceDN/>
              <w:bidi w:val="0"/>
              <w:snapToGrid/>
              <w:jc w:val="center"/>
              <w:textAlignment w:val="auto"/>
              <w:outlineLvl w:val="9"/>
              <w:rPr>
                <w:rFonts w:ascii="仿宋" w:hAnsi="仿宋" w:eastAsia="仿宋"/>
                <w:sz w:val="24"/>
                <w:highlight w:val="none"/>
              </w:rPr>
            </w:pPr>
            <w:r>
              <w:rPr>
                <w:rFonts w:hint="eastAsia" w:ascii="仿宋" w:hAnsi="仿宋" w:eastAsia="仿宋"/>
                <w:sz w:val="24"/>
                <w:highlight w:val="none"/>
              </w:rPr>
              <w:t>售后服务人员</w:t>
            </w:r>
          </w:p>
        </w:tc>
        <w:tc>
          <w:tcPr>
            <w:tcW w:w="988" w:type="dxa"/>
          </w:tcPr>
          <w:p w14:paraId="094CF49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64A546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9B7EB6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05EF862">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B391D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7F95B95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6D63A5A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63E8A8E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4F25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87" w:type="dxa"/>
            <w:vMerge w:val="continue"/>
          </w:tcPr>
          <w:p w14:paraId="163FC03C">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F80F12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B27856D">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9C6BB8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7E2E174">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64CE1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00D32F0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3891646">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51E3028B">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r w14:paraId="2805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87" w:type="dxa"/>
            <w:vMerge w:val="continue"/>
          </w:tcPr>
          <w:p w14:paraId="72F9E9A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50FAC60">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0093683">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277C2571">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4007B8E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56D6D3DE">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064DE4F">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88" w:type="dxa"/>
          </w:tcPr>
          <w:p w14:paraId="33A6FA69">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c>
          <w:tcPr>
            <w:tcW w:w="993" w:type="dxa"/>
          </w:tcPr>
          <w:p w14:paraId="21CA4D05">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tc>
      </w:tr>
    </w:tbl>
    <w:p w14:paraId="66B15907">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p w14:paraId="29E0E248">
      <w:pPr>
        <w:keepNext w:val="0"/>
        <w:keepLines w:val="0"/>
        <w:pageBreakBefore w:val="0"/>
        <w:kinsoku/>
        <w:wordWrap/>
        <w:overflowPunct/>
        <w:topLinePunct w:val="0"/>
        <w:autoSpaceDE/>
        <w:autoSpaceDN/>
        <w:bidi w:val="0"/>
        <w:snapToGrid/>
        <w:textAlignment w:val="auto"/>
        <w:outlineLvl w:val="9"/>
        <w:rPr>
          <w:rFonts w:ascii="仿宋" w:hAnsi="仿宋" w:eastAsia="仿宋"/>
          <w:sz w:val="24"/>
          <w:highlight w:val="none"/>
        </w:rPr>
      </w:pPr>
    </w:p>
    <w:p w14:paraId="3D7D2E0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供应商名称：XXXX（</w:t>
      </w:r>
      <w:r>
        <w:rPr>
          <w:rFonts w:hint="eastAsia" w:ascii="仿宋" w:hAnsi="仿宋" w:eastAsia="仿宋"/>
          <w:sz w:val="24"/>
          <w:highlight w:val="none"/>
          <w:lang w:eastAsia="zh-CN"/>
        </w:rPr>
        <w:t>盖</w:t>
      </w:r>
      <w:r>
        <w:rPr>
          <w:rFonts w:hint="eastAsia" w:ascii="仿宋" w:hAnsi="仿宋" w:eastAsia="仿宋"/>
          <w:sz w:val="24"/>
          <w:highlight w:val="none"/>
        </w:rPr>
        <w:t>单位公章）</w:t>
      </w:r>
    </w:p>
    <w:p w14:paraId="2A3F3E2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法定代表人/单位负责人或授权代表（签字或加盖个人印章）：XXXX</w:t>
      </w:r>
    </w:p>
    <w:p w14:paraId="1DE87AA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sz w:val="24"/>
          <w:highlight w:val="none"/>
        </w:rPr>
      </w:pPr>
      <w:r>
        <w:rPr>
          <w:rFonts w:hint="eastAsia" w:ascii="仿宋" w:hAnsi="仿宋" w:eastAsia="仿宋"/>
          <w:sz w:val="24"/>
          <w:highlight w:val="none"/>
        </w:rPr>
        <w:t>日    期：XXXX</w:t>
      </w:r>
    </w:p>
    <w:p w14:paraId="0323A870">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rPr>
      </w:pPr>
    </w:p>
    <w:p w14:paraId="0FFB616A">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8</w:t>
      </w:r>
    </w:p>
    <w:p w14:paraId="734FAB37">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sz w:val="32"/>
          <w:szCs w:val="32"/>
          <w:highlight w:val="none"/>
        </w:rPr>
      </w:pPr>
      <w:r>
        <w:rPr>
          <w:rFonts w:hint="eastAsia" w:ascii="仿宋" w:hAnsi="仿宋" w:eastAsia="仿宋"/>
          <w:b/>
          <w:sz w:val="32"/>
          <w:szCs w:val="32"/>
          <w:highlight w:val="none"/>
        </w:rPr>
        <w:t>供应商认为需要提供的其它相关资料</w:t>
      </w:r>
    </w:p>
    <w:p w14:paraId="304DAFAF">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hint="eastAsia" w:ascii="仿宋" w:hAnsi="仿宋" w:eastAsia="仿宋"/>
          <w:sz w:val="24"/>
          <w:highlight w:val="none"/>
        </w:rPr>
      </w:pPr>
      <w:r>
        <w:rPr>
          <w:rFonts w:hint="eastAsia" w:ascii="仿宋" w:hAnsi="仿宋" w:eastAsia="仿宋"/>
          <w:sz w:val="24"/>
          <w:highlight w:val="none"/>
        </w:rPr>
        <w:t>供应商根据</w:t>
      </w:r>
      <w:r>
        <w:rPr>
          <w:rFonts w:hint="eastAsia" w:ascii="仿宋" w:hAnsi="仿宋" w:eastAsia="仿宋"/>
          <w:sz w:val="24"/>
          <w:highlight w:val="none"/>
          <w:lang w:eastAsia="zh-CN"/>
        </w:rPr>
        <w:t>磋商</w:t>
      </w:r>
      <w:r>
        <w:rPr>
          <w:rFonts w:hint="eastAsia" w:ascii="仿宋" w:hAnsi="仿宋" w:eastAsia="仿宋"/>
          <w:sz w:val="24"/>
          <w:highlight w:val="none"/>
        </w:rPr>
        <w:t>文件及本项目情况</w:t>
      </w:r>
      <w:r>
        <w:rPr>
          <w:rFonts w:hint="eastAsia" w:ascii="仿宋" w:hAnsi="仿宋" w:eastAsia="仿宋"/>
          <w:sz w:val="24"/>
          <w:highlight w:val="none"/>
          <w:lang w:eastAsia="zh-CN"/>
        </w:rPr>
        <w:t>填写</w:t>
      </w:r>
      <w:r>
        <w:rPr>
          <w:rFonts w:hint="eastAsia" w:ascii="仿宋" w:hAnsi="仿宋" w:eastAsia="仿宋"/>
          <w:sz w:val="24"/>
          <w:highlight w:val="none"/>
        </w:rPr>
        <w:t>（自拟格式）</w:t>
      </w:r>
    </w:p>
    <w:p w14:paraId="5625099A">
      <w:pPr>
        <w:rPr>
          <w:rFonts w:hint="eastAsia" w:ascii="仿宋" w:hAnsi="仿宋" w:eastAsia="仿宋"/>
          <w:b/>
          <w:sz w:val="32"/>
          <w:szCs w:val="32"/>
          <w:highlight w:val="none"/>
        </w:rPr>
      </w:pPr>
      <w:r>
        <w:rPr>
          <w:rFonts w:hint="eastAsia" w:ascii="仿宋" w:hAnsi="仿宋" w:eastAsia="仿宋"/>
          <w:b/>
          <w:sz w:val="32"/>
          <w:szCs w:val="32"/>
          <w:highlight w:val="none"/>
        </w:rPr>
        <w:br w:type="page"/>
      </w:r>
    </w:p>
    <w:p w14:paraId="6C74FB3B">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格式2-</w:t>
      </w:r>
      <w:r>
        <w:rPr>
          <w:rFonts w:hint="eastAsia" w:ascii="仿宋" w:hAnsi="仿宋" w:eastAsia="仿宋"/>
          <w:b/>
          <w:sz w:val="32"/>
          <w:szCs w:val="32"/>
          <w:highlight w:val="none"/>
          <w:lang w:val="en-US" w:eastAsia="zh-CN"/>
        </w:rPr>
        <w:t>9</w:t>
      </w:r>
    </w:p>
    <w:p w14:paraId="4331AF25">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sz w:val="32"/>
          <w:szCs w:val="32"/>
          <w:highlight w:val="none"/>
          <w:lang w:val="en-US" w:eastAsia="zh-CN"/>
        </w:rPr>
      </w:pPr>
      <w:r>
        <w:rPr>
          <w:rFonts w:hint="eastAsia" w:ascii="仿宋" w:hAnsi="仿宋" w:eastAsia="仿宋"/>
          <w:b/>
          <w:sz w:val="32"/>
          <w:szCs w:val="32"/>
          <w:highlight w:val="none"/>
          <w:lang w:val="en-US" w:eastAsia="zh-CN"/>
        </w:rPr>
        <w:t>代理服务费（承诺函）</w:t>
      </w:r>
    </w:p>
    <w:p w14:paraId="5AA11579">
      <w:pPr>
        <w:widowControl/>
        <w:numPr>
          <w:ilvl w:val="0"/>
          <w:numId w:val="0"/>
        </w:numPr>
        <w:autoSpaceDE/>
        <w:autoSpaceDN/>
        <w:adjustRightInd/>
        <w:snapToGrid/>
        <w:spacing w:beforeAutospacing="0" w:afterAutospacing="0" w:line="240" w:lineRule="auto"/>
        <w:ind w:left="0" w:leftChars="0" w:right="0" w:rightChars="0" w:firstLine="0" w:firstLineChars="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t>恒泰工程咨询集团有限公司：</w:t>
      </w:r>
    </w:p>
    <w:p w14:paraId="50761186">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贵公司代理的XXXX项目（项目编号）中，若我方获得中标或成交资格。</w:t>
      </w:r>
    </w:p>
    <w:p w14:paraId="5B2CF3A4">
      <w:pPr>
        <w:pStyle w:val="32"/>
        <w:widowControl/>
        <w:autoSpaceDE/>
        <w:autoSpaceDN/>
        <w:adjustRightInd/>
        <w:snapToGrid/>
        <w:spacing w:beforeAutospacing="0" w:afterAutospacing="0" w:line="240" w:lineRule="auto"/>
        <w:ind w:left="0" w:leftChars="0" w:right="0" w:rightChars="0" w:firstLine="562" w:firstLineChars="200"/>
        <w:jc w:val="both"/>
        <w:outlineLvl w:val="9"/>
        <w:rPr>
          <w:rFonts w:hint="eastAsia" w:ascii="宋体" w:hAnsi="仿宋_GB2312" w:eastAsia="仿宋_GB2312" w:cs="仿宋_GB2312"/>
          <w:b/>
          <w:bCs/>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bCs/>
          <w:i w:val="0"/>
          <w:strike w:val="0"/>
          <w:dstrike w:val="0"/>
          <w:snapToGrid/>
          <w:spacing w:val="0"/>
          <w:w w:val="100"/>
          <w:kern w:val="0"/>
          <w:position w:val="0"/>
          <w:sz w:val="28"/>
          <w:szCs w:val="20"/>
          <w:highlight w:val="none"/>
          <w:u w:val="none"/>
          <w:lang w:val="en-US" w:eastAsia="zh-CN"/>
        </w:rPr>
        <w:t>我方承诺在收到中标或成交通知的2个工作日内，按照采购文件规定缴纳全额的代理服务费。</w:t>
      </w:r>
    </w:p>
    <w:p w14:paraId="52779D0C">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t>特此承诺。</w:t>
      </w:r>
    </w:p>
    <w:p w14:paraId="18749E2E">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1"/>
          <w:highlight w:val="none"/>
          <w:u w:val="none"/>
          <w:lang w:val="en-US" w:eastAsia="zh-CN"/>
        </w:rPr>
      </w:pPr>
    </w:p>
    <w:p w14:paraId="73F1808F">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供应商名称：XXXX（单位公章）</w:t>
      </w:r>
    </w:p>
    <w:p w14:paraId="40C7462D">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法定代表人/单位负责人或授权代表（签字或加盖个人印章）：XXXX。</w:t>
      </w:r>
    </w:p>
    <w:p w14:paraId="3ECBF55D">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日    期：XXXX。</w:t>
      </w:r>
    </w:p>
    <w:p w14:paraId="1326EF4C">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pPr>
    </w:p>
    <w:p w14:paraId="1C19E9D1">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sz w:val="20"/>
          <w:szCs w:val="20"/>
          <w:highlight w:val="none"/>
        </w:rPr>
      </w:pPr>
      <w:r>
        <w:rPr>
          <w:rFonts w:hint="eastAsia" w:ascii="宋体" w:hAnsi="仿宋_GB2312" w:eastAsia="仿宋_GB2312" w:cs="仿宋_GB2312"/>
          <w:b w:val="0"/>
          <w:i w:val="0"/>
          <w:strike w:val="0"/>
          <w:dstrike w:val="0"/>
          <w:snapToGrid/>
          <w:spacing w:val="0"/>
          <w:w w:val="100"/>
          <w:kern w:val="0"/>
          <w:position w:val="0"/>
          <w:sz w:val="28"/>
          <w:szCs w:val="20"/>
          <w:highlight w:val="none"/>
          <w:u w:val="none"/>
          <w:lang w:val="en-US" w:eastAsia="zh-CN"/>
        </w:rPr>
        <w:t>注：缴纳全额的代理服务费后，请按照采购文件要求领取中标（成交）通知书。</w:t>
      </w:r>
    </w:p>
    <w:p w14:paraId="10978625">
      <w:pPr>
        <w:rPr>
          <w:rFonts w:hint="eastAsia" w:ascii="仿宋" w:hAnsi="仿宋" w:eastAsia="仿宋"/>
          <w:b/>
          <w:sz w:val="32"/>
          <w:szCs w:val="32"/>
          <w:highlight w:val="none"/>
        </w:rPr>
      </w:pPr>
      <w:bookmarkStart w:id="50" w:name="_Toc5062"/>
      <w:bookmarkStart w:id="51" w:name="_Toc229476110"/>
      <w:bookmarkStart w:id="52" w:name="_Toc229393560"/>
      <w:bookmarkStart w:id="53" w:name="_Toc389231679"/>
      <w:bookmarkStart w:id="54" w:name="_Toc307298485"/>
      <w:bookmarkStart w:id="55" w:name="_Toc306711441"/>
      <w:bookmarkStart w:id="56" w:name="_Toc307298483"/>
      <w:bookmarkStart w:id="57" w:name="_Toc229395229"/>
      <w:bookmarkStart w:id="58" w:name="_Toc229475781"/>
      <w:bookmarkStart w:id="59" w:name="_Toc256502558"/>
      <w:bookmarkStart w:id="60" w:name="_Toc390774317"/>
      <w:bookmarkStart w:id="61" w:name="_Toc229393392"/>
      <w:bookmarkStart w:id="62" w:name="_Toc389552549"/>
      <w:bookmarkStart w:id="63" w:name="_Toc389552551"/>
      <w:bookmarkStart w:id="64" w:name="_Toc241204651"/>
      <w:bookmarkStart w:id="65" w:name="_Toc256004204"/>
      <w:bookmarkStart w:id="66" w:name="_Toc315963032"/>
      <w:bookmarkStart w:id="67" w:name="_Toc389231677"/>
      <w:bookmarkStart w:id="68" w:name="_Toc390774319"/>
      <w:bookmarkStart w:id="69" w:name="_Toc240870198"/>
      <w:bookmarkStart w:id="70" w:name="_Toc439679295"/>
      <w:bookmarkStart w:id="71" w:name="_Toc62832459"/>
      <w:bookmarkStart w:id="72" w:name="_Toc306711443"/>
      <w:bookmarkStart w:id="73" w:name="_Toc439679293"/>
      <w:bookmarkStart w:id="74" w:name="_Toc229393644"/>
      <w:bookmarkStart w:id="75" w:name="_Toc229395145"/>
      <w:bookmarkStart w:id="76" w:name="_Toc217446060"/>
      <w:bookmarkStart w:id="77" w:name="_Toc389231769"/>
      <w:bookmarkStart w:id="78" w:name="_Toc389231767"/>
      <w:bookmarkStart w:id="79" w:name="_Toc241053690"/>
      <w:bookmarkStart w:id="80" w:name="_Toc315963034"/>
      <w:bookmarkStart w:id="81" w:name="_Toc245097947"/>
      <w:r>
        <w:rPr>
          <w:rFonts w:hint="eastAsia" w:ascii="仿宋" w:hAnsi="仿宋" w:eastAsia="仿宋"/>
          <w:b/>
          <w:sz w:val="32"/>
          <w:szCs w:val="32"/>
          <w:highlight w:val="none"/>
        </w:rPr>
        <w:br w:type="page"/>
      </w:r>
    </w:p>
    <w:p w14:paraId="75932CC7">
      <w:pPr>
        <w:pStyle w:val="3"/>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theme="minorBidi"/>
          <w:b/>
          <w:bCs/>
          <w:color w:val="000000"/>
          <w:kern w:val="44"/>
          <w:sz w:val="36"/>
          <w:szCs w:val="36"/>
          <w:highlight w:val="none"/>
          <w:lang w:val="en-US" w:eastAsia="zh-CN" w:bidi="ar-SA"/>
        </w:rPr>
      </w:pPr>
      <w:bookmarkStart w:id="82" w:name="_Toc18483"/>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七</w:t>
      </w:r>
      <w:r>
        <w:rPr>
          <w:rFonts w:hint="eastAsia" w:ascii="仿宋" w:hAnsi="仿宋" w:eastAsia="仿宋"/>
          <w:b/>
          <w:bCs w:val="0"/>
          <w:color w:val="000000"/>
          <w:sz w:val="36"/>
          <w:szCs w:val="36"/>
          <w:highlight w:val="none"/>
        </w:rPr>
        <w:t>章 评审办法</w:t>
      </w:r>
      <w:bookmarkEnd w:id="50"/>
      <w:bookmarkEnd w:id="82"/>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60AC6EF4">
      <w:pPr>
        <w:pStyle w:val="2"/>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sz w:val="24"/>
          <w:szCs w:val="24"/>
          <w:highlight w:val="none"/>
        </w:rPr>
      </w:pPr>
      <w:bookmarkStart w:id="83" w:name="_Toc62832470"/>
      <w:r>
        <w:rPr>
          <w:rFonts w:hint="eastAsia" w:ascii="仿宋" w:hAnsi="仿宋" w:eastAsia="仿宋"/>
          <w:sz w:val="24"/>
          <w:szCs w:val="24"/>
          <w:highlight w:val="none"/>
        </w:rPr>
        <w:t>1.总则</w:t>
      </w:r>
    </w:p>
    <w:p w14:paraId="69C18313">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1.1 </w:t>
      </w:r>
      <w:r>
        <w:rPr>
          <w:rFonts w:hint="eastAsia" w:ascii="仿宋" w:hAnsi="仿宋" w:eastAsia="仿宋"/>
          <w:b w:val="0"/>
          <w:sz w:val="24"/>
          <w:szCs w:val="24"/>
          <w:highlight w:val="none"/>
          <w:lang w:eastAsia="zh-CN"/>
        </w:rPr>
        <w:t>参照</w:t>
      </w:r>
      <w:r>
        <w:rPr>
          <w:rFonts w:hint="eastAsia" w:ascii="仿宋" w:hAnsi="仿宋" w:eastAsia="仿宋"/>
          <w:b w:val="0"/>
          <w:sz w:val="24"/>
          <w:szCs w:val="24"/>
          <w:highlight w:val="none"/>
        </w:rPr>
        <w:t>《中华人民共和国政府采购法》、《中华人民共和国政府采购法实施条例》、《政府采购竞争性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采购方式管理暂行办法》等法律制度，结合本采购项目特点制定本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方法。</w:t>
      </w:r>
    </w:p>
    <w:p w14:paraId="47551E1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1.2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工作由采购代理机构负责组织，具体</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由采购代理机构依法组建的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小组负责。</w:t>
      </w:r>
    </w:p>
    <w:p w14:paraId="2960DB6B">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1.3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工作应遵循公平、公正、科学及择优的原则，并以相同的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程序和标准对待所有的供应商。</w:t>
      </w:r>
    </w:p>
    <w:p w14:paraId="583005E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1.4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小组按照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程序、评分方法和标准进行评审，并独立履行下列职责：</w:t>
      </w:r>
    </w:p>
    <w:p w14:paraId="3837E0E5">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1</w:t>
      </w:r>
      <w:r>
        <w:rPr>
          <w:rFonts w:hint="eastAsia" w:ascii="仿宋" w:hAnsi="仿宋" w:eastAsia="仿宋"/>
          <w:b w:val="0"/>
          <w:sz w:val="24"/>
          <w:szCs w:val="24"/>
          <w:highlight w:val="none"/>
        </w:rPr>
        <w:t>）熟悉和理解</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文件，确定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文件内容是否违反国家有关强制性规定或者</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文件存在歧义、重大缺陷，根据需要书面要求采购人、采购代理机构对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文件作出解释；</w:t>
      </w:r>
    </w:p>
    <w:p w14:paraId="765A02A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2</w:t>
      </w:r>
      <w:r>
        <w:rPr>
          <w:rFonts w:hint="eastAsia" w:ascii="仿宋" w:hAnsi="仿宋" w:eastAsia="仿宋"/>
          <w:b w:val="0"/>
          <w:sz w:val="24"/>
          <w:szCs w:val="24"/>
          <w:highlight w:val="none"/>
        </w:rPr>
        <w:t>）审查供应商响应文件是否满足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文件要求，并作出公正评价；</w:t>
      </w:r>
    </w:p>
    <w:p w14:paraId="4436193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3</w:t>
      </w:r>
      <w:r>
        <w:rPr>
          <w:rFonts w:hint="eastAsia" w:ascii="仿宋" w:hAnsi="仿宋" w:eastAsia="仿宋"/>
          <w:b w:val="0"/>
          <w:sz w:val="24"/>
          <w:szCs w:val="24"/>
          <w:highlight w:val="none"/>
        </w:rPr>
        <w:t>）根据需要要求供应商对响应文件中含义不明确、同类问题表述不一致或者有明显文字和计算错误的内容等作出必要的澄清、说明或者更正；</w:t>
      </w:r>
    </w:p>
    <w:p w14:paraId="03756A9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4</w:t>
      </w:r>
      <w:r>
        <w:rPr>
          <w:rFonts w:hint="eastAsia" w:ascii="仿宋" w:hAnsi="仿宋" w:eastAsia="仿宋"/>
          <w:b w:val="0"/>
          <w:sz w:val="24"/>
          <w:szCs w:val="24"/>
          <w:highlight w:val="none"/>
        </w:rPr>
        <w:t>）推荐成交供应商，或者受采购人委托确定成交供应商；</w:t>
      </w:r>
    </w:p>
    <w:p w14:paraId="65A5DCA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）起草评审报告并进行签署；</w:t>
      </w:r>
    </w:p>
    <w:p w14:paraId="6255C8D1">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6</w:t>
      </w:r>
      <w:r>
        <w:rPr>
          <w:rFonts w:hint="eastAsia" w:ascii="仿宋" w:hAnsi="仿宋" w:eastAsia="仿宋"/>
          <w:b w:val="0"/>
          <w:sz w:val="24"/>
          <w:szCs w:val="24"/>
          <w:highlight w:val="none"/>
        </w:rPr>
        <w:t>）向采购人/采购代理机构监督部门报告非法干预评审工作的行为；</w:t>
      </w:r>
    </w:p>
    <w:p w14:paraId="1C7DA3FA">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7</w:t>
      </w:r>
      <w:r>
        <w:rPr>
          <w:rFonts w:hint="eastAsia" w:ascii="仿宋" w:hAnsi="仿宋" w:eastAsia="仿宋"/>
          <w:b w:val="0"/>
          <w:sz w:val="24"/>
          <w:szCs w:val="24"/>
          <w:highlight w:val="none"/>
        </w:rPr>
        <w:t>）法律、法规和规章规定的其他职责。</w:t>
      </w:r>
    </w:p>
    <w:p w14:paraId="3814928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highlight w:val="none"/>
        </w:rPr>
      </w:pPr>
      <w:r>
        <w:rPr>
          <w:rFonts w:hint="eastAsia" w:ascii="仿宋" w:hAnsi="仿宋" w:eastAsia="仿宋"/>
          <w:b w:val="0"/>
          <w:sz w:val="24"/>
          <w:szCs w:val="24"/>
          <w:highlight w:val="none"/>
        </w:rPr>
        <w:t>1.5</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过程独立、保密。供应商非法干预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过程的，其响应文件作无效处理。</w:t>
      </w:r>
    </w:p>
    <w:p w14:paraId="435C1AF7">
      <w:pPr>
        <w:pStyle w:val="2"/>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szCs w:val="24"/>
          <w:highlight w:val="none"/>
          <w:lang w:eastAsia="zh-CN"/>
        </w:rPr>
        <w:t>磋商</w:t>
      </w:r>
      <w:r>
        <w:rPr>
          <w:rFonts w:hint="eastAsia" w:ascii="仿宋" w:hAnsi="仿宋" w:eastAsia="仿宋"/>
          <w:sz w:val="24"/>
          <w:szCs w:val="24"/>
          <w:highlight w:val="none"/>
        </w:rPr>
        <w:t>程序</w:t>
      </w:r>
    </w:p>
    <w:p w14:paraId="37223CD0">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2.1审查</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文件和停止评审。</w:t>
      </w:r>
    </w:p>
    <w:p w14:paraId="2964B2E2">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 xml:space="preserve">2.1.1 </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小组正式评审前，应当对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文件进行熟悉和理解，内容主要包括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文件中供应商资格条件要求、采购项目技术、服务和商务要求、</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办法和标准、采购政策要求以及采购合同主要条款等。</w:t>
      </w:r>
    </w:p>
    <w:p w14:paraId="37ECFD33">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ascii="仿宋" w:hAnsi="仿宋" w:eastAsia="仿宋"/>
          <w:b/>
          <w:bCs w:val="0"/>
          <w:sz w:val="24"/>
          <w:szCs w:val="24"/>
          <w:highlight w:val="none"/>
        </w:rPr>
      </w:pPr>
      <w:r>
        <w:rPr>
          <w:rFonts w:hint="eastAsia" w:ascii="仿宋" w:hAnsi="仿宋" w:eastAsia="仿宋"/>
          <w:b/>
          <w:bCs w:val="0"/>
          <w:sz w:val="24"/>
          <w:szCs w:val="24"/>
          <w:highlight w:val="none"/>
        </w:rPr>
        <w:t>2.2资格性审查</w:t>
      </w:r>
    </w:p>
    <w:p w14:paraId="5E632BD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2.2.1本项目需要</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小组进行资格性</w:t>
      </w:r>
      <w:r>
        <w:rPr>
          <w:rFonts w:hint="eastAsia" w:ascii="仿宋" w:hAnsi="仿宋" w:eastAsia="仿宋"/>
          <w:b w:val="0"/>
          <w:sz w:val="24"/>
          <w:szCs w:val="24"/>
          <w:highlight w:val="none"/>
          <w:lang w:eastAsia="zh-CN"/>
        </w:rPr>
        <w:t>审查</w:t>
      </w:r>
      <w:r>
        <w:rPr>
          <w:rFonts w:hint="eastAsia" w:ascii="仿宋" w:hAnsi="仿宋" w:eastAsia="仿宋"/>
          <w:b w:val="0"/>
          <w:sz w:val="24"/>
          <w:szCs w:val="24"/>
          <w:highlight w:val="none"/>
        </w:rPr>
        <w:t>。</w:t>
      </w:r>
    </w:p>
    <w:p w14:paraId="7DB08D1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小组应依据法律法规和</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文件的规定，对响应文件是否按照规定要求提供资格性证明材料、是否属于禁止参加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的供应商等进行审查，以确定供应商是否具备</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资格。</w:t>
      </w:r>
    </w:p>
    <w:p w14:paraId="52CD1EB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2.2.2资格性审查结束后，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小组应当出具资格性审查报告，没有通过资格审查的供应商，</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小组应当在资格审查报告中说明原因。</w:t>
      </w:r>
    </w:p>
    <w:p w14:paraId="75F5A7A6">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sz w:val="24"/>
          <w:szCs w:val="24"/>
          <w:highlight w:val="none"/>
        </w:rPr>
      </w:pPr>
      <w:r>
        <w:rPr>
          <w:rFonts w:hint="eastAsia" w:ascii="仿宋" w:hAnsi="仿宋" w:eastAsia="仿宋"/>
          <w:b w:val="0"/>
          <w:sz w:val="24"/>
          <w:szCs w:val="24"/>
          <w:highlight w:val="none"/>
        </w:rPr>
        <w:t>2.2.3采购人或者采购代理机构宣布未通过资格性审查的供应商名单时，应当告知供应商未通过审查的原因。</w:t>
      </w:r>
    </w:p>
    <w:p w14:paraId="7464A4CF">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2.3通过资格性审查的供应商不足3家的，终止本次采购活动，并发布终止采购活动公告。</w:t>
      </w:r>
    </w:p>
    <w:p w14:paraId="02C7BB71">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b w:val="0"/>
          <w:sz w:val="24"/>
          <w:szCs w:val="24"/>
          <w:highlight w:val="none"/>
          <w:lang w:val="zh-CN"/>
        </w:rPr>
      </w:pPr>
      <w:r>
        <w:rPr>
          <w:rFonts w:hint="eastAsia" w:ascii="仿宋" w:hAnsi="仿宋" w:eastAsia="仿宋"/>
          <w:b w:val="0"/>
          <w:sz w:val="24"/>
          <w:szCs w:val="24"/>
          <w:highlight w:val="none"/>
        </w:rPr>
        <w:t>2.3.1</w:t>
      </w:r>
      <w:r>
        <w:rPr>
          <w:rFonts w:hint="eastAsia" w:ascii="仿宋" w:hAnsi="仿宋" w:eastAsia="仿宋"/>
          <w:b w:val="0"/>
          <w:sz w:val="24"/>
          <w:szCs w:val="24"/>
          <w:highlight w:val="none"/>
          <w:lang w:val="zh-CN"/>
        </w:rPr>
        <w:t>参照《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0A7CD394">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2.4实质性响应审查</w:t>
      </w:r>
    </w:p>
    <w:p w14:paraId="01BEF597">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cs="Times New Roman"/>
          <w:b w:val="0"/>
          <w:bCs w:val="0"/>
          <w:sz w:val="24"/>
          <w:highlight w:val="none"/>
          <w:lang w:val="en-US" w:eastAsia="zh-CN"/>
        </w:rPr>
      </w:pPr>
      <w:r>
        <w:rPr>
          <w:rFonts w:hint="eastAsia" w:ascii="仿宋" w:hAnsi="仿宋" w:eastAsia="仿宋" w:cs="Times New Roman"/>
          <w:b w:val="0"/>
          <w:bCs w:val="0"/>
          <w:sz w:val="24"/>
          <w:highlight w:val="none"/>
          <w:lang w:val="en-US" w:eastAsia="zh-CN"/>
        </w:rPr>
        <w:t>磋商开始前，磋商小组对供应商首次提交的响应文件（包括报价）进行审查，审查内容为磋商文件中的</w:t>
      </w:r>
      <w:r>
        <w:rPr>
          <w:rFonts w:hint="eastAsia" w:ascii="仿宋" w:hAnsi="仿宋" w:eastAsia="仿宋" w:cs="Times New Roman"/>
          <w:b/>
          <w:bCs/>
          <w:sz w:val="24"/>
          <w:highlight w:val="none"/>
          <w:lang w:val="en-US" w:eastAsia="zh-CN"/>
        </w:rPr>
        <w:t>所有实质性要求</w:t>
      </w:r>
      <w:r>
        <w:rPr>
          <w:rFonts w:hint="eastAsia" w:ascii="仿宋" w:hAnsi="仿宋" w:eastAsia="仿宋" w:cs="Times New Roman"/>
          <w:b w:val="0"/>
          <w:bCs w:val="0"/>
          <w:sz w:val="24"/>
          <w:highlight w:val="none"/>
          <w:lang w:val="en-US" w:eastAsia="zh-CN"/>
        </w:rPr>
        <w:t>。经审查不符合实质性要求，其响应文件应作无效处理，并在磋商报告中予以记录。</w:t>
      </w:r>
    </w:p>
    <w:p w14:paraId="6087E5E7">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w:t>
      </w:r>
      <w:r>
        <w:rPr>
          <w:rFonts w:hint="eastAsia" w:ascii="仿宋" w:hAnsi="仿宋" w:eastAsia="仿宋"/>
          <w:b/>
          <w:bCs w:val="0"/>
          <w:sz w:val="24"/>
          <w:szCs w:val="24"/>
          <w:highlight w:val="none"/>
          <w:lang w:val="en-US" w:eastAsia="zh-CN"/>
        </w:rPr>
        <w:t>5</w:t>
      </w:r>
      <w:r>
        <w:rPr>
          <w:rFonts w:hint="eastAsia" w:ascii="仿宋" w:hAnsi="仿宋" w:eastAsia="仿宋"/>
          <w:b/>
          <w:bCs w:val="0"/>
          <w:sz w:val="24"/>
          <w:szCs w:val="24"/>
          <w:highlight w:val="none"/>
          <w:lang w:eastAsia="zh-CN"/>
        </w:rPr>
        <w:t>磋商</w:t>
      </w:r>
    </w:p>
    <w:p w14:paraId="63058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.1</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小组所有成员集中与单一供应商分别进行一轮或多轮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，并给予所有参加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的供应商平等的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机会。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顺序以现场抽签的方式确定。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小组可以根据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情况调整</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轮次。</w:t>
      </w:r>
    </w:p>
    <w:p w14:paraId="530E50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.2每轮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开始前，</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文件的规定，并结合各供应商的响应文件拟定</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内容。</w:t>
      </w:r>
    </w:p>
    <w:p w14:paraId="19D29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.3在磋商过程中，磋商小组可以根据磋商文件和磋商情况实质性变动采购需求中的技术、服务要求以及合同草案条款，但不得变动磋商文件中的其他内容。实质性变动的内容，须经采购人代表确认。</w:t>
      </w:r>
    </w:p>
    <w:p w14:paraId="0865B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.4对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文件作出的实质性变动是</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文件的有效组成部分，</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小组应当及时以书面形式同时通知所有参加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的供应商。</w:t>
      </w:r>
    </w:p>
    <w:p w14:paraId="43D866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.5</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文件变动的，供应商应当按照</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文件的变动情况和</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过程中，供应商根据</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情况自行决定变更其响应文件的，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小组不得拒绝，并应当给予供应商必要的时间，但是供应商变更其响应文件，应当以有利于满足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文件要求为原则，不得变更为不利于满足</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文件规定，否则，其响应文件作为无效处理。</w:t>
      </w:r>
    </w:p>
    <w:p w14:paraId="1F41A0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.6</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的任何一方不得透露与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有关的其他供应商的技术资料、价格和其他信息。</w:t>
      </w:r>
    </w:p>
    <w:p w14:paraId="3237C9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.7</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过程中，</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小组发现或者知晓供应商存在违法、违纪行为的，且该违法、违纪行为属于相关采购制度或本</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文件规定的响应文件无效处理情形的，</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小组应当将该供应商响应文件作无效处理，不允许其提交最后报价。</w:t>
      </w:r>
    </w:p>
    <w:p w14:paraId="5CAD46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.8经最终磋商后，响应文件仍有下列情况之一的，应按照无效响应文件处理：</w:t>
      </w:r>
    </w:p>
    <w:p w14:paraId="284AF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1</w:t>
      </w:r>
      <w:r>
        <w:rPr>
          <w:rFonts w:hint="eastAsia" w:ascii="仿宋" w:hAnsi="仿宋" w:eastAsia="仿宋"/>
          <w:b w:val="0"/>
          <w:sz w:val="24"/>
          <w:szCs w:val="24"/>
          <w:highlight w:val="none"/>
        </w:rPr>
        <w:t>）响应文件仍不能实质响应磋商文件可实质性变动的实质性要求的；</w:t>
      </w:r>
    </w:p>
    <w:p w14:paraId="38849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2</w:t>
      </w:r>
      <w:r>
        <w:rPr>
          <w:rFonts w:hint="eastAsia" w:ascii="仿宋" w:hAnsi="仿宋" w:eastAsia="仿宋"/>
          <w:b w:val="0"/>
          <w:sz w:val="24"/>
          <w:szCs w:val="24"/>
          <w:highlight w:val="none"/>
        </w:rPr>
        <w:t>）响应文件中仍有磋商文件规定的其他无效响应情形的。</w:t>
      </w:r>
    </w:p>
    <w:p w14:paraId="7AA516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sz w:val="24"/>
          <w:szCs w:val="24"/>
          <w:highlight w:val="none"/>
        </w:rPr>
      </w:pPr>
      <w:r>
        <w:rPr>
          <w:rFonts w:hint="eastAsia" w:ascii="仿宋" w:hAnsi="仿宋" w:eastAsia="仿宋"/>
          <w:b w:val="0"/>
          <w:sz w:val="24"/>
          <w:szCs w:val="24"/>
          <w:highlight w:val="none"/>
        </w:rPr>
        <w:t>2.</w:t>
      </w:r>
      <w:r>
        <w:rPr>
          <w:rFonts w:hint="eastAsia" w:ascii="仿宋" w:hAnsi="仿宋" w:eastAsia="仿宋"/>
          <w:b w:val="0"/>
          <w:sz w:val="24"/>
          <w:szCs w:val="24"/>
          <w:highlight w:val="none"/>
          <w:lang w:val="en-US" w:eastAsia="zh-CN"/>
        </w:rPr>
        <w:t>5</w:t>
      </w:r>
      <w:r>
        <w:rPr>
          <w:rFonts w:hint="eastAsia" w:ascii="仿宋" w:hAnsi="仿宋" w:eastAsia="仿宋"/>
          <w:b w:val="0"/>
          <w:sz w:val="24"/>
          <w:szCs w:val="24"/>
          <w:highlight w:val="none"/>
        </w:rPr>
        <w:t>.</w:t>
      </w:r>
      <w:r>
        <w:rPr>
          <w:rFonts w:hint="eastAsia" w:ascii="仿宋" w:hAnsi="仿宋" w:eastAsia="仿宋"/>
          <w:b w:val="0"/>
          <w:sz w:val="24"/>
          <w:szCs w:val="24"/>
          <w:highlight w:val="none"/>
          <w:lang w:val="en-US" w:eastAsia="zh-CN"/>
        </w:rPr>
        <w:t>9</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完成后，</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小组应出具</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情况记录表，</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情况记录表需包含</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内容、</w:t>
      </w:r>
      <w:r>
        <w:rPr>
          <w:rFonts w:hint="eastAsia" w:ascii="仿宋" w:hAnsi="仿宋" w:eastAsia="仿宋"/>
          <w:b w:val="0"/>
          <w:sz w:val="24"/>
          <w:szCs w:val="24"/>
          <w:highlight w:val="none"/>
          <w:lang w:eastAsia="zh-CN"/>
        </w:rPr>
        <w:t>磋商</w:t>
      </w:r>
      <w:r>
        <w:rPr>
          <w:rFonts w:hint="eastAsia" w:ascii="仿宋" w:hAnsi="仿宋" w:eastAsia="仿宋"/>
          <w:b w:val="0"/>
          <w:sz w:val="24"/>
          <w:szCs w:val="24"/>
          <w:highlight w:val="none"/>
        </w:rPr>
        <w:t>意见、实质性变动内容等。</w:t>
      </w:r>
    </w:p>
    <w:p w14:paraId="1D2AAE12">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rPr>
      </w:pPr>
      <w:r>
        <w:rPr>
          <w:rFonts w:hint="eastAsia" w:ascii="仿宋" w:hAnsi="仿宋" w:eastAsia="仿宋"/>
          <w:b/>
          <w:bCs w:val="0"/>
          <w:sz w:val="24"/>
          <w:szCs w:val="24"/>
          <w:highlight w:val="none"/>
        </w:rPr>
        <w:t>2.</w:t>
      </w:r>
      <w:r>
        <w:rPr>
          <w:rFonts w:hint="eastAsia" w:ascii="仿宋" w:hAnsi="仿宋" w:eastAsia="仿宋"/>
          <w:b/>
          <w:bCs w:val="0"/>
          <w:sz w:val="24"/>
          <w:szCs w:val="24"/>
          <w:highlight w:val="none"/>
          <w:lang w:val="en-US" w:eastAsia="zh-CN"/>
        </w:rPr>
        <w:t>6最后</w:t>
      </w:r>
      <w:r>
        <w:rPr>
          <w:rFonts w:hint="eastAsia" w:ascii="仿宋" w:hAnsi="仿宋" w:eastAsia="仿宋"/>
          <w:b/>
          <w:bCs w:val="0"/>
          <w:sz w:val="24"/>
          <w:szCs w:val="24"/>
          <w:highlight w:val="none"/>
        </w:rPr>
        <w:t>报价</w:t>
      </w:r>
    </w:p>
    <w:p w14:paraId="2697B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lang w:eastAsia="zh-CN"/>
        </w:rPr>
        <w:t>磋商</w:t>
      </w:r>
      <w:r>
        <w:rPr>
          <w:rFonts w:hint="eastAsia" w:ascii="仿宋" w:hAnsi="仿宋" w:eastAsia="仿宋"/>
          <w:sz w:val="24"/>
          <w:highlight w:val="none"/>
        </w:rPr>
        <w:t>文件能够详细列明采购标的的技术、服务要求的，</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小组应当要求所有实质性响应的供应商在规定时间内提交最后报价，提交最后报价的供应商不得少于3家</w:t>
      </w:r>
      <w:r>
        <w:rPr>
          <w:rFonts w:hint="eastAsia" w:ascii="仿宋" w:hAnsi="仿宋" w:eastAsia="仿宋"/>
          <w:b/>
          <w:sz w:val="24"/>
          <w:highlight w:val="none"/>
        </w:rPr>
        <w:t>（</w:t>
      </w:r>
      <w:r>
        <w:rPr>
          <w:rFonts w:hint="eastAsia" w:ascii="仿宋" w:hAnsi="仿宋" w:eastAsia="仿宋"/>
          <w:b/>
          <w:bCs w:val="0"/>
          <w:sz w:val="24"/>
          <w:highlight w:val="none"/>
        </w:rPr>
        <w:t>本章2.3.1和2.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的情况除外）</w:t>
      </w:r>
      <w:r>
        <w:rPr>
          <w:rFonts w:hint="eastAsia" w:ascii="仿宋" w:hAnsi="仿宋" w:eastAsia="仿宋"/>
          <w:sz w:val="24"/>
          <w:highlight w:val="none"/>
        </w:rPr>
        <w:t>。或</w:t>
      </w:r>
      <w:r>
        <w:rPr>
          <w:rFonts w:hint="eastAsia" w:ascii="仿宋" w:hAnsi="仿宋" w:eastAsia="仿宋"/>
          <w:sz w:val="24"/>
          <w:highlight w:val="none"/>
          <w:lang w:eastAsia="zh-CN"/>
        </w:rPr>
        <w:t>磋商</w:t>
      </w:r>
      <w:r>
        <w:rPr>
          <w:rFonts w:hint="eastAsia" w:ascii="仿宋" w:hAnsi="仿宋" w:eastAsia="仿宋"/>
          <w:sz w:val="24"/>
          <w:highlight w:val="none"/>
        </w:rPr>
        <w:t>文件不能详细列明采购标的的技术、服务要求，需经</w:t>
      </w:r>
      <w:r>
        <w:rPr>
          <w:rFonts w:hint="eastAsia" w:ascii="仿宋" w:hAnsi="仿宋" w:eastAsia="仿宋"/>
          <w:sz w:val="24"/>
          <w:highlight w:val="none"/>
          <w:lang w:eastAsia="zh-CN"/>
        </w:rPr>
        <w:t>磋商</w:t>
      </w:r>
      <w:r>
        <w:rPr>
          <w:rFonts w:hint="eastAsia" w:ascii="仿宋" w:hAnsi="仿宋" w:eastAsia="仿宋"/>
          <w:sz w:val="24"/>
          <w:highlight w:val="none"/>
        </w:rPr>
        <w:t>由供应商提供最终设计方案或解决方案的，</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小组应当按照少数服从多数的原则投票推荐3家以上</w:t>
      </w:r>
      <w:r>
        <w:rPr>
          <w:rFonts w:hint="eastAsia" w:ascii="仿宋" w:hAnsi="仿宋" w:eastAsia="仿宋"/>
          <w:b/>
          <w:bCs w:val="0"/>
          <w:sz w:val="24"/>
          <w:highlight w:val="none"/>
        </w:rPr>
        <w:t>（本章2.3.1和2.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的情况除外）</w:t>
      </w:r>
      <w:r>
        <w:rPr>
          <w:rFonts w:hint="eastAsia" w:ascii="仿宋" w:hAnsi="仿宋" w:eastAsia="仿宋"/>
          <w:sz w:val="24"/>
          <w:highlight w:val="none"/>
        </w:rPr>
        <w:t>供应商的设计方案或者解决方案，并要求其在规定时间内提交最后报价。</w:t>
      </w:r>
    </w:p>
    <w:p w14:paraId="6FD720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2</w:t>
      </w:r>
      <w:bookmarkStart w:id="84" w:name="_Toc30986"/>
      <w:r>
        <w:rPr>
          <w:rFonts w:hint="eastAsia" w:ascii="仿宋" w:hAnsi="仿宋" w:eastAsia="仿宋"/>
          <w:sz w:val="24"/>
          <w:highlight w:val="none"/>
          <w:lang w:val="en-US" w:eastAsia="zh-CN"/>
        </w:rPr>
        <w:t>参照</w:t>
      </w:r>
      <w:r>
        <w:rPr>
          <w:rFonts w:hint="eastAsia" w:ascii="仿宋" w:hAnsi="仿宋" w:eastAsia="仿宋"/>
          <w:b w:val="0"/>
          <w:bCs w:val="0"/>
          <w:sz w:val="24"/>
          <w:highlight w:val="none"/>
        </w:rPr>
        <w:t>《</w:t>
      </w:r>
      <w:r>
        <w:rPr>
          <w:rFonts w:ascii="仿宋" w:hAnsi="仿宋" w:eastAsia="仿宋"/>
          <w:b w:val="0"/>
          <w:bCs w:val="0"/>
          <w:sz w:val="24"/>
          <w:highlight w:val="none"/>
        </w:rPr>
        <w:t>政府采购竞争性</w:t>
      </w:r>
      <w:r>
        <w:rPr>
          <w:rFonts w:hint="eastAsia" w:ascii="仿宋" w:hAnsi="仿宋" w:eastAsia="仿宋"/>
          <w:b w:val="0"/>
          <w:bCs w:val="0"/>
          <w:sz w:val="24"/>
          <w:highlight w:val="none"/>
          <w:lang w:eastAsia="zh-CN"/>
        </w:rPr>
        <w:t>磋商</w:t>
      </w:r>
      <w:r>
        <w:rPr>
          <w:rFonts w:ascii="仿宋" w:hAnsi="仿宋" w:eastAsia="仿宋"/>
          <w:b w:val="0"/>
          <w:bCs w:val="0"/>
          <w:sz w:val="24"/>
          <w:highlight w:val="none"/>
        </w:rPr>
        <w:t>采购方式管理暂行办法</w:t>
      </w:r>
      <w:r>
        <w:rPr>
          <w:rFonts w:hint="eastAsia" w:ascii="仿宋" w:hAnsi="仿宋" w:eastAsia="仿宋"/>
          <w:b w:val="0"/>
          <w:bCs w:val="0"/>
          <w:sz w:val="24"/>
          <w:highlight w:val="none"/>
        </w:rPr>
        <w:t>财库》〔2014〕214号</w:t>
      </w:r>
      <w:bookmarkEnd w:id="84"/>
      <w:r>
        <w:rPr>
          <w:rFonts w:hint="eastAsia" w:ascii="仿宋" w:hAnsi="仿宋" w:eastAsia="仿宋"/>
          <w:b w:val="0"/>
          <w:bCs w:val="0"/>
          <w:sz w:val="24"/>
          <w:highlight w:val="none"/>
        </w:rPr>
        <w:t>第三条第四项情形的，提交最后报价的供应商可以为2家。</w:t>
      </w:r>
    </w:p>
    <w:p w14:paraId="30F720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lang w:eastAsia="zh-CN"/>
        </w:rPr>
        <w:t>磋商</w:t>
      </w:r>
      <w:r>
        <w:rPr>
          <w:rFonts w:hint="eastAsia" w:ascii="仿宋" w:hAnsi="仿宋" w:eastAsia="仿宋"/>
          <w:sz w:val="24"/>
          <w:highlight w:val="none"/>
        </w:rPr>
        <w:t>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仿宋" w:hAnsi="仿宋" w:eastAsia="仿宋"/>
          <w:sz w:val="24"/>
          <w:highlight w:val="none"/>
          <w:lang w:eastAsia="zh-CN"/>
        </w:rPr>
        <w:t>磋商</w:t>
      </w:r>
      <w:r>
        <w:rPr>
          <w:rFonts w:hint="eastAsia" w:ascii="仿宋" w:hAnsi="仿宋" w:eastAsia="仿宋"/>
          <w:sz w:val="24"/>
          <w:highlight w:val="none"/>
        </w:rPr>
        <w:t>小组应当对其响应文件按无效处理，不允许进入综合评分，并书面告知供应商，说明理由。</w:t>
      </w:r>
    </w:p>
    <w:p w14:paraId="3EE1A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供应商最后报价应当由法定代表人/主要负责人/本人或其授权代表签字确认（</w:t>
      </w:r>
      <w:r>
        <w:rPr>
          <w:rFonts w:hint="eastAsia" w:ascii="仿宋" w:hAnsi="仿宋" w:eastAsia="仿宋"/>
          <w:b/>
          <w:sz w:val="24"/>
          <w:highlight w:val="none"/>
        </w:rPr>
        <w:t>注：</w:t>
      </w:r>
      <w:r>
        <w:rPr>
          <w:rFonts w:hint="eastAsia" w:ascii="仿宋" w:hAnsi="仿宋" w:eastAsia="仿宋"/>
          <w:sz w:val="24"/>
          <w:highlight w:val="none"/>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B2249F2">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报价如果出现下列不一致的，可按以下原则进行修改：</w:t>
      </w:r>
    </w:p>
    <w:p w14:paraId="786DDBD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w:t>
      </w:r>
      <w:r>
        <w:rPr>
          <w:rFonts w:hint="eastAsia" w:ascii="仿宋" w:hAnsi="仿宋" w:eastAsia="仿宋" w:cs="宋体"/>
          <w:kern w:val="0"/>
          <w:sz w:val="24"/>
          <w:highlight w:val="none"/>
        </w:rPr>
        <w:t>大写金额和小写金额不一致的，以大写金额为准</w:t>
      </w:r>
      <w:r>
        <w:rPr>
          <w:rFonts w:hint="eastAsia" w:ascii="仿宋" w:hAnsi="仿宋" w:eastAsia="仿宋"/>
          <w:sz w:val="24"/>
          <w:highlight w:val="none"/>
        </w:rPr>
        <w:t>，但大写金额文字存在错误的，应当先对大写金额的文字错误进行澄清、说明或者更正，再行修正。</w:t>
      </w:r>
    </w:p>
    <w:p w14:paraId="58D23899">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w:t>
      </w:r>
      <w:r>
        <w:rPr>
          <w:rFonts w:hint="eastAsia" w:ascii="仿宋" w:hAnsi="仿宋" w:eastAsia="仿宋" w:cs="宋体"/>
          <w:kern w:val="0"/>
          <w:sz w:val="24"/>
          <w:highlight w:val="none"/>
        </w:rPr>
        <w:t>总价金额与按单价汇总金额不一致的，以单价金额计算结果为准，</w:t>
      </w:r>
      <w:r>
        <w:rPr>
          <w:rFonts w:hint="eastAsia" w:ascii="仿宋" w:hAnsi="仿宋" w:eastAsia="仿宋"/>
          <w:sz w:val="24"/>
          <w:highlight w:val="none"/>
        </w:rPr>
        <w:t>但</w:t>
      </w:r>
      <w:r>
        <w:rPr>
          <w:rFonts w:hint="eastAsia" w:ascii="仿宋" w:hAnsi="仿宋" w:eastAsia="仿宋" w:cs="宋体"/>
          <w:kern w:val="0"/>
          <w:sz w:val="24"/>
          <w:highlight w:val="none"/>
        </w:rPr>
        <w:t>单价或者单价汇总金额存在数字或者</w:t>
      </w:r>
      <w:r>
        <w:rPr>
          <w:rFonts w:hint="eastAsia" w:ascii="仿宋" w:hAnsi="仿宋" w:eastAsia="仿宋"/>
          <w:sz w:val="24"/>
          <w:highlight w:val="none"/>
        </w:rPr>
        <w:t>文字错误的，应当先对</w:t>
      </w:r>
      <w:r>
        <w:rPr>
          <w:rFonts w:hint="eastAsia" w:ascii="仿宋" w:hAnsi="仿宋" w:eastAsia="仿宋" w:cs="宋体"/>
          <w:kern w:val="0"/>
          <w:sz w:val="24"/>
          <w:highlight w:val="none"/>
        </w:rPr>
        <w:t>数字或者</w:t>
      </w:r>
      <w:r>
        <w:rPr>
          <w:rFonts w:hint="eastAsia" w:ascii="仿宋" w:hAnsi="仿宋" w:eastAsia="仿宋"/>
          <w:sz w:val="24"/>
          <w:highlight w:val="none"/>
        </w:rPr>
        <w:t>文字错误进行澄清、说明或者更正，再行修正。</w:t>
      </w:r>
    </w:p>
    <w:p w14:paraId="1D78C816">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）单价金额小数点</w:t>
      </w:r>
      <w:r>
        <w:rPr>
          <w:rFonts w:hint="eastAsia" w:ascii="仿宋" w:hAnsi="仿宋" w:eastAsia="仿宋" w:cs="宋体"/>
          <w:kern w:val="0"/>
          <w:sz w:val="24"/>
          <w:highlight w:val="none"/>
        </w:rPr>
        <w:t>或者百分比有明显错位的</w:t>
      </w:r>
      <w:r>
        <w:rPr>
          <w:rFonts w:hint="eastAsia" w:ascii="仿宋" w:hAnsi="仿宋" w:eastAsia="仿宋"/>
          <w:sz w:val="24"/>
          <w:highlight w:val="none"/>
        </w:rPr>
        <w:t>，以总价为准，修正单价。</w:t>
      </w:r>
    </w:p>
    <w:p w14:paraId="122F5A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cs="宋体"/>
          <w:kern w:val="0"/>
          <w:sz w:val="24"/>
          <w:highlight w:val="none"/>
        </w:rPr>
      </w:pPr>
      <w:r>
        <w:rPr>
          <w:rFonts w:hint="eastAsia" w:ascii="仿宋" w:hAnsi="仿宋" w:eastAsia="仿宋" w:cs="宋体"/>
          <w:kern w:val="0"/>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A6260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highlight w:val="none"/>
        </w:rPr>
      </w:pPr>
      <w:r>
        <w:rPr>
          <w:rFonts w:hint="eastAsia" w:ascii="仿宋" w:hAnsi="仿宋" w:eastAsia="仿宋"/>
          <w:sz w:val="24"/>
          <w:highlight w:val="none"/>
        </w:rPr>
        <w:t>不得未经澄清、说明或者更正，直接将供应商响应文件作为无效处理。对不同文字文本响应文件的解释发生异议的，以中文文本为准。</w:t>
      </w:r>
    </w:p>
    <w:p w14:paraId="06BD68B9">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sz w:val="24"/>
          <w:szCs w:val="24"/>
          <w:highlight w:val="none"/>
          <w:lang w:val="en-US" w:eastAsia="zh-CN"/>
        </w:rPr>
      </w:pPr>
      <w:r>
        <w:rPr>
          <w:rFonts w:hint="eastAsia" w:ascii="仿宋" w:hAnsi="仿宋" w:eastAsia="仿宋"/>
          <w:b/>
          <w:bCs w:val="0"/>
          <w:sz w:val="24"/>
          <w:szCs w:val="24"/>
          <w:highlight w:val="none"/>
          <w:lang w:val="en-US" w:eastAsia="zh-CN"/>
        </w:rPr>
        <w:t>2.7供应商澄清、说明</w:t>
      </w:r>
    </w:p>
    <w:p w14:paraId="24DE9280">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b w:val="0"/>
          <w:sz w:val="24"/>
          <w:szCs w:val="24"/>
          <w:highlight w:val="none"/>
          <w:lang w:val="en-US" w:eastAsia="zh-CN"/>
        </w:rPr>
      </w:pPr>
      <w:r>
        <w:rPr>
          <w:rFonts w:hint="eastAsia" w:ascii="仿宋" w:hAnsi="仿宋" w:eastAsia="仿宋"/>
          <w:b w:val="0"/>
          <w:sz w:val="24"/>
          <w:szCs w:val="24"/>
          <w:highlight w:val="none"/>
          <w:lang w:val="en-US" w:eastAsia="zh-CN"/>
        </w:rPr>
        <w:t>2.7.1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A4092F">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highlight w:val="none"/>
        </w:rPr>
      </w:pPr>
      <w:r>
        <w:rPr>
          <w:rFonts w:hint="eastAsia" w:ascii="仿宋" w:hAnsi="仿宋" w:eastAsia="仿宋"/>
          <w:b w:val="0"/>
          <w:sz w:val="24"/>
          <w:szCs w:val="24"/>
          <w:highlight w:val="none"/>
          <w:lang w:val="en-US" w:eastAsia="zh-CN"/>
        </w:rPr>
        <w:t>2.7.2磋商小组要求供应商澄清、说明或者更正响应文件应当以书面形式作出。供应商的澄清、说明或者更正应当由法定代表人/单位负责人/本人或其授权代表签字或者加盖公章。</w:t>
      </w:r>
    </w:p>
    <w:p w14:paraId="0BB78D7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2.8比较与评价</w:t>
      </w:r>
    </w:p>
    <w:p w14:paraId="5D20F0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由</w:t>
      </w:r>
      <w:r>
        <w:rPr>
          <w:rFonts w:hint="eastAsia" w:ascii="仿宋" w:hAnsi="仿宋" w:eastAsia="仿宋"/>
          <w:sz w:val="24"/>
          <w:highlight w:val="none"/>
          <w:lang w:eastAsia="zh-CN"/>
        </w:rPr>
        <w:t>磋商</w:t>
      </w:r>
      <w:r>
        <w:rPr>
          <w:rFonts w:hint="eastAsia" w:ascii="仿宋" w:hAnsi="仿宋" w:eastAsia="仿宋"/>
          <w:sz w:val="24"/>
          <w:highlight w:val="none"/>
        </w:rPr>
        <w:t>小组采用综合评分法对提交最后报价的供应商的响应文件和最后报价进行综合评分，具体要求详见本章综合评分部分。</w:t>
      </w:r>
    </w:p>
    <w:p w14:paraId="70CC012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2.9推荐成交候选供应商</w:t>
      </w:r>
    </w:p>
    <w:p w14:paraId="7729C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highlight w:val="none"/>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小组应当根据综合评分情况，按照评审得分由高到低顺序推荐3家以上（本章2.</w:t>
      </w: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.2的情况除外）成交候选供应商，并编写</w:t>
      </w:r>
      <w:r>
        <w:rPr>
          <w:rFonts w:hint="eastAsia" w:ascii="仿宋" w:hAnsi="仿宋" w:eastAsia="仿宋"/>
          <w:color w:val="auto"/>
          <w:sz w:val="24"/>
          <w:highlight w:val="none"/>
          <w:lang w:eastAsia="zh-CN"/>
        </w:rPr>
        <w:t>磋商</w:t>
      </w:r>
      <w:r>
        <w:rPr>
          <w:rFonts w:hint="eastAsia" w:ascii="仿宋" w:hAnsi="仿宋" w:eastAsia="仿宋"/>
          <w:color w:val="auto"/>
          <w:sz w:val="24"/>
          <w:highlight w:val="none"/>
        </w:rPr>
        <w:t>报告。评审得分相同的，按照最后报价由低到高的顺序推荐。评审得分且最后报价相同的，按照技术指标</w:t>
      </w:r>
      <w:r>
        <w:rPr>
          <w:rFonts w:hint="eastAsia" w:ascii="仿宋" w:hAnsi="仿宋" w:eastAsia="仿宋"/>
          <w:color w:val="auto"/>
          <w:sz w:val="24"/>
          <w:highlight w:val="none"/>
          <w:lang w:eastAsia="zh-CN"/>
        </w:rPr>
        <w:t>（评审因素第</w:t>
      </w:r>
      <w:r>
        <w:rPr>
          <w:rFonts w:hint="eastAsia" w:ascii="仿宋" w:hAnsi="仿宋" w:eastAsia="仿宋"/>
          <w:color w:val="auto"/>
          <w:sz w:val="24"/>
          <w:highlight w:val="none"/>
          <w:lang w:val="en-US" w:eastAsia="zh-CN"/>
        </w:rPr>
        <w:t>2项</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35A06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各采购包分别推荐成交候选供应商3名。</w:t>
      </w:r>
    </w:p>
    <w:p w14:paraId="1E1CEA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2.10磋商小组复核</w:t>
      </w:r>
    </w:p>
    <w:p w14:paraId="503A7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小组评分汇总结束后，</w:t>
      </w:r>
      <w:r>
        <w:rPr>
          <w:rFonts w:hint="eastAsia" w:ascii="仿宋" w:hAnsi="仿宋" w:eastAsia="仿宋"/>
          <w:sz w:val="24"/>
          <w:highlight w:val="none"/>
          <w:lang w:eastAsia="zh-CN"/>
        </w:rPr>
        <w:t>磋商</w:t>
      </w:r>
      <w:r>
        <w:rPr>
          <w:rFonts w:hint="eastAsia" w:ascii="仿宋" w:hAnsi="仿宋" w:eastAsia="仿宋"/>
          <w:sz w:val="24"/>
          <w:highlight w:val="none"/>
        </w:rPr>
        <w:t>小组应当进行评审复核，对拟推荐为成交候选供应商的、报价最低的、供应商资格审查未通过的、供应商响应文件作无效处理的重点复核。</w:t>
      </w:r>
    </w:p>
    <w:p w14:paraId="76CB658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2.11采购组织单位现场复核评审结果</w:t>
      </w:r>
    </w:p>
    <w:p w14:paraId="121F3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11</w:t>
      </w:r>
      <w:r>
        <w:rPr>
          <w:rFonts w:hint="eastAsia" w:ascii="仿宋" w:hAnsi="仿宋" w:eastAsia="仿宋"/>
          <w:sz w:val="24"/>
          <w:highlight w:val="none"/>
        </w:rPr>
        <w:t>.1评审结果汇总完成后，</w:t>
      </w:r>
      <w:r>
        <w:rPr>
          <w:rFonts w:hint="eastAsia" w:ascii="仿宋" w:hAnsi="仿宋" w:eastAsia="仿宋"/>
          <w:sz w:val="24"/>
          <w:highlight w:val="none"/>
          <w:lang w:eastAsia="zh-CN"/>
        </w:rPr>
        <w:t>磋商</w:t>
      </w:r>
      <w:r>
        <w:rPr>
          <w:rFonts w:hint="eastAsia" w:ascii="仿宋" w:hAnsi="仿宋" w:eastAsia="仿宋"/>
          <w:sz w:val="24"/>
          <w:highlight w:val="none"/>
        </w:rPr>
        <w:t>小组拟出具</w:t>
      </w:r>
      <w:r>
        <w:rPr>
          <w:rFonts w:hint="eastAsia" w:ascii="仿宋" w:hAnsi="仿宋" w:eastAsia="仿宋"/>
          <w:sz w:val="24"/>
          <w:highlight w:val="none"/>
          <w:lang w:eastAsia="zh-CN"/>
        </w:rPr>
        <w:t>磋商</w:t>
      </w:r>
      <w:r>
        <w:rPr>
          <w:rFonts w:hint="eastAsia" w:ascii="仿宋" w:hAnsi="仿宋" w:eastAsia="仿宋"/>
          <w:sz w:val="24"/>
          <w:highlight w:val="none"/>
        </w:rPr>
        <w:t>评审报告前，采购代理机构应当组织2名以上的本单位工作人员，在采购现场监督人员的监督之下，依据有关的法律制度和</w:t>
      </w:r>
      <w:r>
        <w:rPr>
          <w:rFonts w:hint="eastAsia" w:ascii="仿宋" w:hAnsi="仿宋" w:eastAsia="仿宋"/>
          <w:sz w:val="24"/>
          <w:highlight w:val="none"/>
          <w:lang w:eastAsia="zh-CN"/>
        </w:rPr>
        <w:t>磋商</w:t>
      </w:r>
      <w:r>
        <w:rPr>
          <w:rFonts w:hint="eastAsia" w:ascii="仿宋" w:hAnsi="仿宋" w:eastAsia="仿宋"/>
          <w:sz w:val="24"/>
          <w:highlight w:val="none"/>
        </w:rPr>
        <w:t>文件对评审结果进行复核，出具复核报告，存在下列情形之一的，采购代理机构应当根据情况书面建议</w:t>
      </w:r>
      <w:r>
        <w:rPr>
          <w:rFonts w:hint="eastAsia" w:ascii="仿宋" w:hAnsi="仿宋" w:eastAsia="仿宋"/>
          <w:sz w:val="24"/>
          <w:highlight w:val="none"/>
          <w:lang w:eastAsia="zh-CN"/>
        </w:rPr>
        <w:t>磋商</w:t>
      </w:r>
      <w:r>
        <w:rPr>
          <w:rFonts w:hint="eastAsia" w:ascii="仿宋" w:hAnsi="仿宋" w:eastAsia="仿宋"/>
          <w:sz w:val="24"/>
          <w:highlight w:val="none"/>
        </w:rPr>
        <w:t>小组现场修改评审结果：</w:t>
      </w:r>
    </w:p>
    <w:p w14:paraId="0F08AF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（1）资格性审查认定错误的；</w:t>
      </w:r>
    </w:p>
    <w:p w14:paraId="5356A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（2）分值汇总计算错误的；</w:t>
      </w:r>
    </w:p>
    <w:p w14:paraId="6E4C8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（3）分项评分超出评分标准范围的；</w:t>
      </w:r>
    </w:p>
    <w:p w14:paraId="73F50C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（4）客观评分不一致的。</w:t>
      </w:r>
    </w:p>
    <w:p w14:paraId="65BF9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存在本条上述情形的，由</w:t>
      </w:r>
      <w:r>
        <w:rPr>
          <w:rFonts w:hint="eastAsia" w:ascii="仿宋" w:hAnsi="仿宋" w:eastAsia="仿宋"/>
          <w:sz w:val="24"/>
          <w:highlight w:val="none"/>
          <w:lang w:eastAsia="zh-CN"/>
        </w:rPr>
        <w:t>磋商</w:t>
      </w:r>
      <w:r>
        <w:rPr>
          <w:rFonts w:hint="eastAsia" w:ascii="仿宋" w:hAnsi="仿宋" w:eastAsia="仿宋"/>
          <w:sz w:val="24"/>
          <w:highlight w:val="none"/>
        </w:rPr>
        <w:t>小组自主决定是否采纳采购代理机构的书面建议，并承担独立评审责任。</w:t>
      </w:r>
      <w:r>
        <w:rPr>
          <w:rFonts w:hint="eastAsia" w:ascii="仿宋" w:hAnsi="仿宋" w:eastAsia="仿宋"/>
          <w:sz w:val="24"/>
          <w:highlight w:val="none"/>
          <w:lang w:eastAsia="zh-CN"/>
        </w:rPr>
        <w:t>磋商</w:t>
      </w:r>
      <w:r>
        <w:rPr>
          <w:rFonts w:hint="eastAsia" w:ascii="仿宋" w:hAnsi="仿宋" w:eastAsia="仿宋"/>
          <w:sz w:val="24"/>
          <w:highlight w:val="none"/>
        </w:rPr>
        <w:t>小组采纳采购代理机构书面建议的，应当按照规定现场修改评审结果或者重新评审，并在</w:t>
      </w:r>
      <w:r>
        <w:rPr>
          <w:rFonts w:hint="eastAsia" w:ascii="仿宋" w:hAnsi="仿宋" w:eastAsia="仿宋"/>
          <w:sz w:val="24"/>
          <w:highlight w:val="none"/>
          <w:lang w:eastAsia="zh-CN"/>
        </w:rPr>
        <w:t>磋商</w:t>
      </w:r>
      <w:r>
        <w:rPr>
          <w:rFonts w:hint="eastAsia" w:ascii="仿宋" w:hAnsi="仿宋" w:eastAsia="仿宋"/>
          <w:sz w:val="24"/>
          <w:highlight w:val="none"/>
        </w:rPr>
        <w:t>报告中详细记载有关事宜；不采纳采购代理机构书面建议的，应当书面说明理由。采购代理机构书面建议未被</w:t>
      </w:r>
      <w:r>
        <w:rPr>
          <w:rFonts w:hint="eastAsia" w:ascii="仿宋" w:hAnsi="仿宋" w:eastAsia="仿宋"/>
          <w:sz w:val="24"/>
          <w:highlight w:val="none"/>
          <w:lang w:eastAsia="zh-CN"/>
        </w:rPr>
        <w:t>磋商</w:t>
      </w:r>
      <w:r>
        <w:rPr>
          <w:rFonts w:hint="eastAsia" w:ascii="仿宋" w:hAnsi="仿宋" w:eastAsia="仿宋"/>
          <w:sz w:val="24"/>
          <w:highlight w:val="none"/>
        </w:rPr>
        <w:t>小组采纳的，应当接照规定程序要求继续组织实施采购活动，不得擅自中止采购活动。采购代理机构认为</w:t>
      </w:r>
      <w:r>
        <w:rPr>
          <w:rFonts w:hint="eastAsia" w:ascii="仿宋" w:hAnsi="仿宋" w:eastAsia="仿宋"/>
          <w:sz w:val="24"/>
          <w:highlight w:val="none"/>
          <w:lang w:eastAsia="zh-CN"/>
        </w:rPr>
        <w:t>磋商</w:t>
      </w:r>
      <w:r>
        <w:rPr>
          <w:rFonts w:hint="eastAsia" w:ascii="仿宋" w:hAnsi="仿宋" w:eastAsia="仿宋"/>
          <w:sz w:val="24"/>
          <w:highlight w:val="none"/>
        </w:rPr>
        <w:t>小组评审结果不合法的，应当</w:t>
      </w:r>
      <w:r>
        <w:rPr>
          <w:rFonts w:hint="eastAsia" w:ascii="仿宋" w:hAnsi="仿宋" w:eastAsia="仿宋"/>
          <w:sz w:val="24"/>
          <w:highlight w:val="none"/>
          <w:lang w:val="en-US" w:eastAsia="zh-CN"/>
        </w:rPr>
        <w:t>重新组织磋商小组进行评审</w:t>
      </w:r>
      <w:r>
        <w:rPr>
          <w:rFonts w:hint="eastAsia" w:ascii="仿宋" w:hAnsi="仿宋" w:eastAsia="仿宋"/>
          <w:sz w:val="24"/>
          <w:highlight w:val="none"/>
        </w:rPr>
        <w:t>。</w:t>
      </w:r>
    </w:p>
    <w:p w14:paraId="097D90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采购代理机构复核过程中，</w:t>
      </w:r>
      <w:r>
        <w:rPr>
          <w:rFonts w:hint="eastAsia" w:ascii="仿宋" w:hAnsi="仿宋" w:eastAsia="仿宋"/>
          <w:sz w:val="24"/>
          <w:highlight w:val="none"/>
          <w:lang w:eastAsia="zh-CN"/>
        </w:rPr>
        <w:t>磋商</w:t>
      </w:r>
      <w:r>
        <w:rPr>
          <w:rFonts w:hint="eastAsia" w:ascii="仿宋" w:hAnsi="仿宋" w:eastAsia="仿宋"/>
          <w:sz w:val="24"/>
          <w:highlight w:val="none"/>
        </w:rPr>
        <w:t>小组成员不得离开评审现场。</w:t>
      </w:r>
    </w:p>
    <w:p w14:paraId="0E81E8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w:t>
      </w:r>
      <w:r>
        <w:rPr>
          <w:rFonts w:hint="eastAsia" w:ascii="仿宋" w:hAnsi="仿宋" w:eastAsia="仿宋"/>
          <w:sz w:val="24"/>
          <w:highlight w:val="none"/>
          <w:lang w:val="en-US" w:eastAsia="zh-CN"/>
        </w:rPr>
        <w:t>11</w:t>
      </w:r>
      <w:r>
        <w:rPr>
          <w:rFonts w:hint="eastAsia" w:ascii="仿宋" w:hAnsi="仿宋" w:eastAsia="仿宋"/>
          <w:sz w:val="24"/>
          <w:highlight w:val="none"/>
        </w:rPr>
        <w:t>.2有下列情形之一的，不得现场修改评审结果：</w:t>
      </w:r>
    </w:p>
    <w:p w14:paraId="548CD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w:t>
      </w:r>
      <w:r>
        <w:rPr>
          <w:rFonts w:hint="eastAsia" w:ascii="仿宋" w:hAnsi="仿宋" w:eastAsia="仿宋"/>
          <w:sz w:val="24"/>
          <w:highlight w:val="none"/>
          <w:lang w:eastAsia="zh-CN"/>
        </w:rPr>
        <w:t>磋商</w:t>
      </w:r>
      <w:r>
        <w:rPr>
          <w:rFonts w:hint="eastAsia" w:ascii="仿宋" w:hAnsi="仿宋" w:eastAsia="仿宋"/>
          <w:sz w:val="24"/>
          <w:highlight w:val="none"/>
        </w:rPr>
        <w:t>小组已经出具</w:t>
      </w:r>
      <w:r>
        <w:rPr>
          <w:rFonts w:hint="eastAsia" w:ascii="仿宋" w:hAnsi="仿宋" w:eastAsia="仿宋"/>
          <w:sz w:val="24"/>
          <w:highlight w:val="none"/>
          <w:lang w:eastAsia="zh-CN"/>
        </w:rPr>
        <w:t>磋商</w:t>
      </w:r>
      <w:r>
        <w:rPr>
          <w:rFonts w:hint="eastAsia" w:ascii="仿宋" w:hAnsi="仿宋" w:eastAsia="仿宋"/>
          <w:sz w:val="24"/>
          <w:highlight w:val="none"/>
        </w:rPr>
        <w:t>报告并且离开评审现场的；</w:t>
      </w:r>
    </w:p>
    <w:p w14:paraId="16ECC6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（2）采购代理机构现场复核时，复核工作人员数量不足的；</w:t>
      </w:r>
    </w:p>
    <w:p w14:paraId="65A63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（3）采购代理机构现场复核时，没有采购监督人员现场监督的；</w:t>
      </w:r>
    </w:p>
    <w:p w14:paraId="28AEDA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（4）采购代理机构现场复核内容超出规定范围的；</w:t>
      </w:r>
    </w:p>
    <w:p w14:paraId="053EC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（5）采购代理机构未提供书面建议的。</w:t>
      </w:r>
    </w:p>
    <w:p w14:paraId="2D6262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2.12编写磋商报告</w:t>
      </w:r>
    </w:p>
    <w:p w14:paraId="514C08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小组推荐成交候选供应商后，应向采购代理机构出具</w:t>
      </w:r>
      <w:r>
        <w:rPr>
          <w:rFonts w:hint="eastAsia" w:ascii="仿宋" w:hAnsi="仿宋" w:eastAsia="仿宋"/>
          <w:sz w:val="24"/>
          <w:highlight w:val="none"/>
          <w:lang w:eastAsia="zh-CN"/>
        </w:rPr>
        <w:t>磋商</w:t>
      </w:r>
      <w:r>
        <w:rPr>
          <w:rFonts w:hint="eastAsia" w:ascii="仿宋" w:hAnsi="仿宋" w:eastAsia="仿宋"/>
          <w:sz w:val="24"/>
          <w:highlight w:val="none"/>
        </w:rPr>
        <w:t>报告。</w:t>
      </w:r>
      <w:r>
        <w:rPr>
          <w:rFonts w:hint="eastAsia" w:ascii="仿宋" w:hAnsi="仿宋" w:eastAsia="仿宋"/>
          <w:sz w:val="24"/>
          <w:highlight w:val="none"/>
          <w:lang w:eastAsia="zh-CN"/>
        </w:rPr>
        <w:t>磋商</w:t>
      </w:r>
      <w:r>
        <w:rPr>
          <w:rFonts w:hint="eastAsia" w:ascii="仿宋" w:hAnsi="仿宋" w:eastAsia="仿宋"/>
          <w:sz w:val="24"/>
          <w:highlight w:val="none"/>
        </w:rPr>
        <w:t>报告应当包括以下主要内容：</w:t>
      </w:r>
    </w:p>
    <w:p w14:paraId="7A126A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（1）邀请供应商参加采购活动的具体方式和相关情况；</w:t>
      </w:r>
    </w:p>
    <w:p w14:paraId="667797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（2）响应文件开启日期和地点；</w:t>
      </w:r>
    </w:p>
    <w:p w14:paraId="61F0D3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（3）获取</w:t>
      </w:r>
      <w:r>
        <w:rPr>
          <w:rFonts w:hint="eastAsia" w:ascii="仿宋" w:hAnsi="仿宋" w:eastAsia="仿宋"/>
          <w:sz w:val="24"/>
          <w:highlight w:val="none"/>
          <w:lang w:eastAsia="zh-CN"/>
        </w:rPr>
        <w:t>磋商</w:t>
      </w:r>
      <w:r>
        <w:rPr>
          <w:rFonts w:hint="eastAsia" w:ascii="仿宋" w:hAnsi="仿宋" w:eastAsia="仿宋"/>
          <w:sz w:val="24"/>
          <w:highlight w:val="none"/>
        </w:rPr>
        <w:t>文件的供应商名单和</w:t>
      </w:r>
      <w:r>
        <w:rPr>
          <w:rFonts w:hint="eastAsia" w:ascii="仿宋" w:hAnsi="仿宋" w:eastAsia="仿宋"/>
          <w:sz w:val="24"/>
          <w:highlight w:val="none"/>
          <w:lang w:eastAsia="zh-CN"/>
        </w:rPr>
        <w:t>磋商</w:t>
      </w:r>
      <w:r>
        <w:rPr>
          <w:rFonts w:hint="eastAsia" w:ascii="仿宋" w:hAnsi="仿宋" w:eastAsia="仿宋"/>
          <w:sz w:val="24"/>
          <w:highlight w:val="none"/>
        </w:rPr>
        <w:t>小组成员名单；</w:t>
      </w:r>
    </w:p>
    <w:p w14:paraId="36766B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（4）评审情况记录和说明，包括对供应商的资格审查情况、供应商响应文件审查情况、</w:t>
      </w:r>
      <w:r>
        <w:rPr>
          <w:rFonts w:hint="eastAsia" w:ascii="仿宋" w:hAnsi="仿宋" w:eastAsia="仿宋"/>
          <w:sz w:val="24"/>
          <w:highlight w:val="none"/>
          <w:lang w:eastAsia="zh-CN"/>
        </w:rPr>
        <w:t>磋商</w:t>
      </w:r>
      <w:r>
        <w:rPr>
          <w:rFonts w:hint="eastAsia" w:ascii="仿宋" w:hAnsi="仿宋" w:eastAsia="仿宋"/>
          <w:sz w:val="24"/>
          <w:highlight w:val="none"/>
        </w:rPr>
        <w:t>情况、报价情况等；</w:t>
      </w:r>
    </w:p>
    <w:p w14:paraId="5231B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（5）提出的成交候选供应商的排序名单及理由。</w:t>
      </w:r>
    </w:p>
    <w:p w14:paraId="7BA6F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lang w:eastAsia="zh-CN"/>
        </w:rPr>
        <w:t>磋商</w:t>
      </w:r>
      <w:r>
        <w:rPr>
          <w:rFonts w:hint="eastAsia" w:ascii="仿宋" w:hAnsi="仿宋" w:eastAsia="仿宋"/>
          <w:sz w:val="24"/>
          <w:highlight w:val="none"/>
        </w:rPr>
        <w:t>报告应当由</w:t>
      </w:r>
      <w:r>
        <w:rPr>
          <w:rFonts w:hint="eastAsia" w:ascii="仿宋" w:hAnsi="仿宋" w:eastAsia="仿宋"/>
          <w:sz w:val="24"/>
          <w:highlight w:val="none"/>
          <w:lang w:eastAsia="zh-CN"/>
        </w:rPr>
        <w:t>磋商</w:t>
      </w:r>
      <w:r>
        <w:rPr>
          <w:rFonts w:hint="eastAsia" w:ascii="仿宋" w:hAnsi="仿宋" w:eastAsia="仿宋"/>
          <w:sz w:val="24"/>
          <w:highlight w:val="none"/>
        </w:rPr>
        <w:t>小组全体人员签字认可。</w:t>
      </w:r>
      <w:r>
        <w:rPr>
          <w:rFonts w:hint="eastAsia" w:ascii="仿宋" w:hAnsi="仿宋" w:eastAsia="仿宋"/>
          <w:sz w:val="24"/>
          <w:highlight w:val="none"/>
          <w:lang w:eastAsia="zh-CN"/>
        </w:rPr>
        <w:t>磋商</w:t>
      </w:r>
      <w:r>
        <w:rPr>
          <w:rFonts w:hint="eastAsia" w:ascii="仿宋" w:hAnsi="仿宋" w:eastAsia="仿宋"/>
          <w:sz w:val="24"/>
          <w:highlight w:val="none"/>
        </w:rPr>
        <w:t>小组成员对</w:t>
      </w:r>
      <w:r>
        <w:rPr>
          <w:rFonts w:hint="eastAsia" w:ascii="仿宋" w:hAnsi="仿宋" w:eastAsia="仿宋"/>
          <w:sz w:val="24"/>
          <w:highlight w:val="none"/>
          <w:lang w:eastAsia="zh-CN"/>
        </w:rPr>
        <w:t>磋商</w:t>
      </w:r>
      <w:r>
        <w:rPr>
          <w:rFonts w:hint="eastAsia" w:ascii="仿宋" w:hAnsi="仿宋" w:eastAsia="仿宋"/>
          <w:sz w:val="24"/>
          <w:highlight w:val="none"/>
        </w:rPr>
        <w:t>报告有异议的，</w:t>
      </w:r>
      <w:r>
        <w:rPr>
          <w:rFonts w:hint="eastAsia" w:ascii="仿宋" w:hAnsi="仿宋" w:eastAsia="仿宋"/>
          <w:sz w:val="24"/>
          <w:highlight w:val="none"/>
          <w:lang w:eastAsia="zh-CN"/>
        </w:rPr>
        <w:t>磋商</w:t>
      </w:r>
      <w:r>
        <w:rPr>
          <w:rFonts w:hint="eastAsia" w:ascii="仿宋" w:hAnsi="仿宋" w:eastAsia="仿宋"/>
          <w:sz w:val="24"/>
          <w:highlight w:val="none"/>
        </w:rPr>
        <w:t>小组按照少数服从多数的原则推荐成交候选供应商，采购程序继续进行。对</w:t>
      </w:r>
      <w:r>
        <w:rPr>
          <w:rFonts w:hint="eastAsia" w:ascii="仿宋" w:hAnsi="仿宋" w:eastAsia="仿宋"/>
          <w:sz w:val="24"/>
          <w:highlight w:val="none"/>
          <w:lang w:eastAsia="zh-CN"/>
        </w:rPr>
        <w:t>磋商</w:t>
      </w:r>
      <w:r>
        <w:rPr>
          <w:rFonts w:hint="eastAsia" w:ascii="仿宋" w:hAnsi="仿宋" w:eastAsia="仿宋"/>
          <w:sz w:val="24"/>
          <w:highlight w:val="none"/>
        </w:rPr>
        <w:t>报告有异议的</w:t>
      </w:r>
      <w:r>
        <w:rPr>
          <w:rFonts w:hint="eastAsia" w:ascii="仿宋" w:hAnsi="仿宋" w:eastAsia="仿宋"/>
          <w:sz w:val="24"/>
          <w:highlight w:val="none"/>
          <w:lang w:eastAsia="zh-CN"/>
        </w:rPr>
        <w:t>磋商</w:t>
      </w:r>
      <w:r>
        <w:rPr>
          <w:rFonts w:hint="eastAsia" w:ascii="仿宋" w:hAnsi="仿宋" w:eastAsia="仿宋"/>
          <w:sz w:val="24"/>
          <w:highlight w:val="none"/>
        </w:rPr>
        <w:t>小组成员，应当在报告上签署不同意见并说明理由，由</w:t>
      </w:r>
      <w:r>
        <w:rPr>
          <w:rFonts w:hint="eastAsia" w:ascii="仿宋" w:hAnsi="仿宋" w:eastAsia="仿宋"/>
          <w:sz w:val="24"/>
          <w:highlight w:val="none"/>
          <w:lang w:eastAsia="zh-CN"/>
        </w:rPr>
        <w:t>磋商</w:t>
      </w:r>
      <w:r>
        <w:rPr>
          <w:rFonts w:hint="eastAsia" w:ascii="仿宋" w:hAnsi="仿宋" w:eastAsia="仿宋"/>
          <w:sz w:val="24"/>
          <w:highlight w:val="none"/>
        </w:rPr>
        <w:t>小组书面记录相关情况。</w:t>
      </w:r>
      <w:r>
        <w:rPr>
          <w:rFonts w:hint="eastAsia" w:ascii="仿宋" w:hAnsi="仿宋" w:eastAsia="仿宋"/>
          <w:sz w:val="24"/>
          <w:highlight w:val="none"/>
          <w:lang w:eastAsia="zh-CN"/>
        </w:rPr>
        <w:t>磋商</w:t>
      </w:r>
      <w:r>
        <w:rPr>
          <w:rFonts w:hint="eastAsia" w:ascii="仿宋" w:hAnsi="仿宋" w:eastAsia="仿宋"/>
          <w:sz w:val="24"/>
          <w:highlight w:val="none"/>
        </w:rPr>
        <w:t>小组成员拒绝在报告上签字又不书面说明其不同意见和理由的，视为同意</w:t>
      </w:r>
      <w:r>
        <w:rPr>
          <w:rFonts w:hint="eastAsia" w:ascii="仿宋" w:hAnsi="仿宋" w:eastAsia="仿宋"/>
          <w:sz w:val="24"/>
          <w:highlight w:val="none"/>
          <w:lang w:eastAsia="zh-CN"/>
        </w:rPr>
        <w:t>磋商</w:t>
      </w:r>
      <w:r>
        <w:rPr>
          <w:rFonts w:hint="eastAsia" w:ascii="仿宋" w:hAnsi="仿宋" w:eastAsia="仿宋"/>
          <w:sz w:val="24"/>
          <w:highlight w:val="none"/>
        </w:rPr>
        <w:t>报告。</w:t>
      </w:r>
    </w:p>
    <w:p w14:paraId="348892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2.13磋商异议处理规则</w:t>
      </w:r>
    </w:p>
    <w:p w14:paraId="4BB6E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在</w:t>
      </w:r>
      <w:r>
        <w:rPr>
          <w:rFonts w:hint="eastAsia" w:ascii="仿宋" w:hAnsi="仿宋" w:eastAsia="仿宋"/>
          <w:sz w:val="24"/>
          <w:highlight w:val="none"/>
          <w:lang w:eastAsia="zh-CN"/>
        </w:rPr>
        <w:t>磋商</w:t>
      </w:r>
      <w:r>
        <w:rPr>
          <w:rFonts w:hint="eastAsia" w:ascii="仿宋" w:hAnsi="仿宋" w:eastAsia="仿宋"/>
          <w:sz w:val="24"/>
          <w:highlight w:val="none"/>
        </w:rPr>
        <w:t>过程中，</w:t>
      </w:r>
      <w:r>
        <w:rPr>
          <w:rFonts w:hint="eastAsia" w:ascii="仿宋" w:hAnsi="仿宋" w:eastAsia="仿宋"/>
          <w:sz w:val="24"/>
          <w:highlight w:val="none"/>
          <w:lang w:eastAsia="zh-CN"/>
        </w:rPr>
        <w:t>磋商</w:t>
      </w:r>
      <w:r>
        <w:rPr>
          <w:rFonts w:hint="eastAsia" w:ascii="仿宋" w:hAnsi="仿宋" w:eastAsia="仿宋"/>
          <w:sz w:val="24"/>
          <w:highlight w:val="none"/>
        </w:rPr>
        <w:t>小组成员对响应文件是否符合</w:t>
      </w:r>
      <w:r>
        <w:rPr>
          <w:rFonts w:hint="eastAsia" w:ascii="仿宋" w:hAnsi="仿宋" w:eastAsia="仿宋"/>
          <w:sz w:val="24"/>
          <w:highlight w:val="none"/>
          <w:lang w:eastAsia="zh-CN"/>
        </w:rPr>
        <w:t>磋商</w:t>
      </w:r>
      <w:r>
        <w:rPr>
          <w:rFonts w:hint="eastAsia" w:ascii="仿宋" w:hAnsi="仿宋" w:eastAsia="仿宋"/>
          <w:sz w:val="24"/>
          <w:highlight w:val="none"/>
        </w:rPr>
        <w:t>文件规定存在争议的，应当以少数服从多数的原则处理，但不违背</w:t>
      </w:r>
      <w:r>
        <w:rPr>
          <w:rFonts w:hint="eastAsia" w:ascii="仿宋" w:hAnsi="仿宋" w:eastAsia="仿宋"/>
          <w:sz w:val="24"/>
          <w:highlight w:val="none"/>
          <w:lang w:eastAsia="zh-CN"/>
        </w:rPr>
        <w:t>磋商</w:t>
      </w:r>
      <w:r>
        <w:rPr>
          <w:rFonts w:hint="eastAsia" w:ascii="仿宋" w:hAnsi="仿宋" w:eastAsia="仿宋"/>
          <w:sz w:val="24"/>
          <w:highlight w:val="none"/>
        </w:rPr>
        <w:t>文件规定。有不同意见的</w:t>
      </w:r>
      <w:r>
        <w:rPr>
          <w:rFonts w:hint="eastAsia" w:ascii="仿宋" w:hAnsi="仿宋" w:eastAsia="仿宋"/>
          <w:sz w:val="24"/>
          <w:highlight w:val="none"/>
          <w:lang w:eastAsia="zh-CN"/>
        </w:rPr>
        <w:t>磋商</w:t>
      </w:r>
      <w:r>
        <w:rPr>
          <w:rFonts w:hint="eastAsia" w:ascii="仿宋" w:hAnsi="仿宋" w:eastAsia="仿宋"/>
          <w:sz w:val="24"/>
          <w:highlight w:val="none"/>
        </w:rPr>
        <w:t>小组成员认为认定过程和结果不符合法律法规或者</w:t>
      </w:r>
      <w:r>
        <w:rPr>
          <w:rFonts w:hint="eastAsia" w:ascii="仿宋" w:hAnsi="仿宋" w:eastAsia="仿宋"/>
          <w:sz w:val="24"/>
          <w:highlight w:val="none"/>
          <w:lang w:eastAsia="zh-CN"/>
        </w:rPr>
        <w:t>磋商</w:t>
      </w:r>
      <w:r>
        <w:rPr>
          <w:rFonts w:hint="eastAsia" w:ascii="仿宋" w:hAnsi="仿宋" w:eastAsia="仿宋"/>
          <w:sz w:val="24"/>
          <w:highlight w:val="none"/>
        </w:rPr>
        <w:t>文件规定的，应当在</w:t>
      </w:r>
      <w:r>
        <w:rPr>
          <w:rFonts w:hint="eastAsia" w:ascii="仿宋" w:hAnsi="仿宋" w:eastAsia="仿宋"/>
          <w:sz w:val="24"/>
          <w:highlight w:val="none"/>
          <w:lang w:eastAsia="zh-CN"/>
        </w:rPr>
        <w:t>磋商</w:t>
      </w:r>
      <w:r>
        <w:rPr>
          <w:rFonts w:hint="eastAsia" w:ascii="仿宋" w:hAnsi="仿宋" w:eastAsia="仿宋"/>
          <w:sz w:val="24"/>
          <w:highlight w:val="none"/>
        </w:rPr>
        <w:t>报告中予以反映。</w:t>
      </w:r>
    </w:p>
    <w:p w14:paraId="0BE2B77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kern w:val="2"/>
          <w:sz w:val="24"/>
          <w:szCs w:val="24"/>
          <w:highlight w:val="none"/>
          <w:lang w:val="en-US" w:eastAsia="zh-CN" w:bidi="ar-SA"/>
        </w:rPr>
      </w:pPr>
      <w:r>
        <w:rPr>
          <w:rFonts w:hint="eastAsia" w:ascii="仿宋" w:hAnsi="仿宋" w:eastAsia="仿宋" w:cstheme="minorBidi"/>
          <w:b/>
          <w:bCs w:val="0"/>
          <w:kern w:val="2"/>
          <w:sz w:val="24"/>
          <w:szCs w:val="24"/>
          <w:highlight w:val="none"/>
          <w:lang w:val="en-US" w:eastAsia="zh-CN" w:bidi="ar-SA"/>
        </w:rPr>
        <w:t>2.14终止磋商采购活动</w:t>
      </w:r>
    </w:p>
    <w:p w14:paraId="139C1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出现下列情形之一的，采购人或者采购代理机构应当终止竞争性</w:t>
      </w:r>
      <w:r>
        <w:rPr>
          <w:rFonts w:hint="eastAsia" w:ascii="仿宋" w:hAnsi="仿宋" w:eastAsia="仿宋"/>
          <w:sz w:val="24"/>
          <w:highlight w:val="none"/>
          <w:lang w:eastAsia="zh-CN"/>
        </w:rPr>
        <w:t>磋商</w:t>
      </w:r>
      <w:r>
        <w:rPr>
          <w:rFonts w:hint="eastAsia" w:ascii="仿宋" w:hAnsi="仿宋" w:eastAsia="仿宋"/>
          <w:sz w:val="24"/>
          <w:highlight w:val="none"/>
        </w:rPr>
        <w:t>采购活动，发布项目终止公告并说明原因，重新开展采购活动：</w:t>
      </w:r>
    </w:p>
    <w:p w14:paraId="241CA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（1）因情况变化，不再符合规定的竞争性</w:t>
      </w:r>
      <w:r>
        <w:rPr>
          <w:rFonts w:hint="eastAsia" w:ascii="仿宋" w:hAnsi="仿宋" w:eastAsia="仿宋"/>
          <w:sz w:val="24"/>
          <w:highlight w:val="none"/>
          <w:lang w:eastAsia="zh-CN"/>
        </w:rPr>
        <w:t>磋商</w:t>
      </w:r>
      <w:r>
        <w:rPr>
          <w:rFonts w:hint="eastAsia" w:ascii="仿宋" w:hAnsi="仿宋" w:eastAsia="仿宋"/>
          <w:sz w:val="24"/>
          <w:highlight w:val="none"/>
        </w:rPr>
        <w:t>采购方式适用情形的；</w:t>
      </w:r>
    </w:p>
    <w:p w14:paraId="0838E0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（2）出现影响采购公正的违法、违规行为的；</w:t>
      </w:r>
    </w:p>
    <w:p w14:paraId="5A533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sz w:val="24"/>
          <w:highlight w:val="none"/>
        </w:rPr>
      </w:pPr>
      <w:r>
        <w:rPr>
          <w:rFonts w:hint="eastAsia" w:ascii="仿宋" w:hAnsi="仿宋" w:eastAsia="仿宋"/>
          <w:sz w:val="24"/>
          <w:highlight w:val="none"/>
        </w:rPr>
        <w:t>（3）除</w:t>
      </w:r>
      <w:r>
        <w:rPr>
          <w:rFonts w:hint="eastAsia" w:ascii="仿宋" w:hAnsi="仿宋" w:eastAsia="仿宋"/>
          <w:b/>
          <w:sz w:val="24"/>
          <w:highlight w:val="none"/>
        </w:rPr>
        <w:t>本章</w:t>
      </w:r>
      <w:r>
        <w:rPr>
          <w:rFonts w:hint="eastAsia" w:ascii="仿宋" w:hAnsi="仿宋" w:eastAsia="仿宋"/>
          <w:b/>
          <w:bCs w:val="0"/>
          <w:sz w:val="24"/>
          <w:highlight w:val="none"/>
        </w:rPr>
        <w:t>2.3.1和2.</w:t>
      </w:r>
      <w:r>
        <w:rPr>
          <w:rFonts w:hint="eastAsia" w:ascii="仿宋" w:hAnsi="仿宋" w:eastAsia="仿宋"/>
          <w:b/>
          <w:bCs w:val="0"/>
          <w:sz w:val="24"/>
          <w:highlight w:val="none"/>
          <w:lang w:val="en-US" w:eastAsia="zh-CN"/>
        </w:rPr>
        <w:t>6</w:t>
      </w:r>
      <w:r>
        <w:rPr>
          <w:rFonts w:hint="eastAsia" w:ascii="仿宋" w:hAnsi="仿宋" w:eastAsia="仿宋"/>
          <w:b/>
          <w:bCs w:val="0"/>
          <w:sz w:val="24"/>
          <w:highlight w:val="none"/>
        </w:rPr>
        <w:t>.</w:t>
      </w:r>
      <w:r>
        <w:rPr>
          <w:rFonts w:hint="eastAsia" w:ascii="仿宋" w:hAnsi="仿宋" w:eastAsia="仿宋"/>
          <w:b/>
          <w:bCs w:val="0"/>
          <w:sz w:val="24"/>
          <w:highlight w:val="none"/>
          <w:lang w:val="en-US" w:eastAsia="zh-CN"/>
        </w:rPr>
        <w:t>2</w:t>
      </w:r>
      <w:r>
        <w:rPr>
          <w:rFonts w:hint="eastAsia" w:ascii="仿宋" w:hAnsi="仿宋" w:eastAsia="仿宋"/>
          <w:b/>
          <w:bCs w:val="0"/>
          <w:sz w:val="24"/>
          <w:highlight w:val="none"/>
        </w:rPr>
        <w:t>的情况外</w:t>
      </w:r>
      <w:r>
        <w:rPr>
          <w:rFonts w:hint="eastAsia" w:ascii="仿宋" w:hAnsi="仿宋" w:eastAsia="仿宋"/>
          <w:b/>
          <w:sz w:val="24"/>
          <w:highlight w:val="none"/>
        </w:rPr>
        <w:t>，</w:t>
      </w:r>
      <w:r>
        <w:rPr>
          <w:rFonts w:hint="eastAsia" w:ascii="仿宋" w:hAnsi="仿宋" w:eastAsia="仿宋"/>
          <w:sz w:val="24"/>
          <w:highlight w:val="none"/>
        </w:rPr>
        <w:t>在采购过程中符合要求的供应商或者报价未超过采购预算的供应商不足3家的。</w:t>
      </w:r>
    </w:p>
    <w:p w14:paraId="26C423DB">
      <w:pPr>
        <w:pStyle w:val="2"/>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3.综合评分</w:t>
      </w:r>
    </w:p>
    <w:p w14:paraId="2CF083F4">
      <w:pPr>
        <w:pStyle w:val="10"/>
        <w:keepNext w:val="0"/>
        <w:keepLines w:val="0"/>
        <w:pageBreakBefore w:val="0"/>
        <w:widowControl w:val="0"/>
        <w:tabs>
          <w:tab w:val="left" w:pos="600"/>
        </w:tabs>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sz w:val="24"/>
          <w:highlight w:val="none"/>
        </w:rPr>
      </w:pPr>
      <w:r>
        <w:rPr>
          <w:rFonts w:hint="eastAsia" w:ascii="仿宋" w:hAnsi="仿宋" w:eastAsia="仿宋"/>
          <w:sz w:val="24"/>
          <w:highlight w:val="none"/>
        </w:rPr>
        <w:t>3.1</w:t>
      </w:r>
      <w:r>
        <w:rPr>
          <w:rFonts w:hint="eastAsia" w:ascii="仿宋" w:hAnsi="仿宋" w:eastAsia="仿宋"/>
          <w:sz w:val="24"/>
          <w:szCs w:val="24"/>
          <w:highlight w:val="none"/>
        </w:rPr>
        <w:t>综合评分明细表</w:t>
      </w:r>
    </w:p>
    <w:tbl>
      <w:tblPr>
        <w:tblStyle w:val="24"/>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88"/>
        <w:gridCol w:w="960"/>
        <w:gridCol w:w="5835"/>
        <w:gridCol w:w="1221"/>
      </w:tblGrid>
      <w:tr w14:paraId="0EA5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15" w:type="dxa"/>
            <w:noWrap w:val="0"/>
            <w:vAlign w:val="center"/>
          </w:tcPr>
          <w:p w14:paraId="0DE9849A">
            <w:pPr>
              <w:snapToGrid w:val="0"/>
              <w:ind w:firstLine="28"/>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序号</w:t>
            </w:r>
          </w:p>
        </w:tc>
        <w:tc>
          <w:tcPr>
            <w:tcW w:w="1288" w:type="dxa"/>
            <w:noWrap w:val="0"/>
            <w:vAlign w:val="center"/>
          </w:tcPr>
          <w:p w14:paraId="128FE9A2">
            <w:pPr>
              <w:snapToGrid w:val="0"/>
              <w:ind w:firstLine="28" w:firstLineChars="0"/>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评</w:t>
            </w:r>
            <w:r>
              <w:rPr>
                <w:rFonts w:hint="eastAsia" w:ascii="仿宋" w:hAnsi="仿宋" w:eastAsia="仿宋" w:cs="仿宋"/>
                <w:b/>
                <w:bCs/>
                <w:color w:val="auto"/>
                <w:sz w:val="22"/>
                <w:szCs w:val="21"/>
                <w:highlight w:val="none"/>
                <w:lang w:eastAsia="zh-CN"/>
              </w:rPr>
              <w:t>审</w:t>
            </w:r>
            <w:r>
              <w:rPr>
                <w:rFonts w:hint="eastAsia" w:ascii="仿宋" w:hAnsi="仿宋" w:eastAsia="仿宋" w:cs="仿宋"/>
                <w:b/>
                <w:bCs/>
                <w:color w:val="auto"/>
                <w:sz w:val="22"/>
                <w:szCs w:val="21"/>
                <w:highlight w:val="none"/>
              </w:rPr>
              <w:t>因素</w:t>
            </w:r>
          </w:p>
        </w:tc>
        <w:tc>
          <w:tcPr>
            <w:tcW w:w="960" w:type="dxa"/>
            <w:noWrap w:val="0"/>
            <w:vAlign w:val="center"/>
          </w:tcPr>
          <w:p w14:paraId="68EBBF02">
            <w:pPr>
              <w:snapToGrid w:val="0"/>
              <w:ind w:firstLine="28" w:firstLineChars="0"/>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lang w:val="en-US" w:eastAsia="zh-CN"/>
              </w:rPr>
              <w:t>权重后</w:t>
            </w:r>
            <w:r>
              <w:rPr>
                <w:rFonts w:hint="eastAsia" w:ascii="仿宋" w:hAnsi="仿宋" w:eastAsia="仿宋" w:cs="仿宋"/>
                <w:b/>
                <w:bCs/>
                <w:color w:val="auto"/>
                <w:sz w:val="22"/>
                <w:szCs w:val="21"/>
                <w:highlight w:val="none"/>
              </w:rPr>
              <w:t>分值</w:t>
            </w:r>
          </w:p>
        </w:tc>
        <w:tc>
          <w:tcPr>
            <w:tcW w:w="5835" w:type="dxa"/>
            <w:noWrap w:val="0"/>
            <w:vAlign w:val="center"/>
          </w:tcPr>
          <w:p w14:paraId="2544CBAE">
            <w:pPr>
              <w:snapToGrid w:val="0"/>
              <w:ind w:firstLine="28"/>
              <w:jc w:val="center"/>
              <w:rPr>
                <w:rFonts w:hint="eastAsia" w:ascii="仿宋" w:hAnsi="仿宋" w:eastAsia="仿宋" w:cs="仿宋"/>
                <w:b/>
                <w:bCs/>
                <w:color w:val="auto"/>
                <w:sz w:val="22"/>
                <w:szCs w:val="21"/>
                <w:highlight w:val="none"/>
              </w:rPr>
            </w:pPr>
            <w:r>
              <w:rPr>
                <w:rFonts w:hint="eastAsia" w:ascii="仿宋" w:hAnsi="仿宋" w:eastAsia="仿宋" w:cs="仿宋"/>
                <w:b/>
                <w:bCs/>
                <w:color w:val="auto"/>
                <w:sz w:val="22"/>
                <w:szCs w:val="21"/>
                <w:highlight w:val="none"/>
              </w:rPr>
              <w:t>评分标准</w:t>
            </w:r>
          </w:p>
        </w:tc>
        <w:tc>
          <w:tcPr>
            <w:tcW w:w="1221" w:type="dxa"/>
            <w:noWrap w:val="0"/>
            <w:vAlign w:val="center"/>
          </w:tcPr>
          <w:p w14:paraId="3202103C">
            <w:pPr>
              <w:snapToGrid w:val="0"/>
              <w:ind w:firstLine="28"/>
              <w:jc w:val="center"/>
              <w:rPr>
                <w:rFonts w:hint="eastAsia" w:ascii="仿宋" w:hAnsi="仿宋" w:eastAsia="仿宋" w:cs="仿宋"/>
                <w:b/>
                <w:bCs/>
                <w:color w:val="auto"/>
                <w:sz w:val="22"/>
                <w:szCs w:val="21"/>
                <w:highlight w:val="none"/>
                <w:lang w:val="en-US" w:eastAsia="zh-CN"/>
              </w:rPr>
            </w:pPr>
            <w:r>
              <w:rPr>
                <w:rFonts w:hint="eastAsia" w:ascii="仿宋" w:hAnsi="仿宋" w:eastAsia="仿宋" w:cs="仿宋"/>
                <w:b/>
                <w:bCs/>
                <w:color w:val="auto"/>
                <w:sz w:val="22"/>
                <w:szCs w:val="21"/>
                <w:highlight w:val="none"/>
                <w:lang w:val="en-US" w:eastAsia="zh-CN"/>
              </w:rPr>
              <w:t>说明</w:t>
            </w:r>
          </w:p>
        </w:tc>
      </w:tr>
      <w:tr w14:paraId="290D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1" w:hRule="atLeast"/>
          <w:jc w:val="center"/>
        </w:trPr>
        <w:tc>
          <w:tcPr>
            <w:tcW w:w="715" w:type="dxa"/>
            <w:noWrap w:val="0"/>
            <w:vAlign w:val="center"/>
          </w:tcPr>
          <w:p w14:paraId="5E50FAB3">
            <w:pPr>
              <w:widowControl/>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88" w:type="dxa"/>
            <w:noWrap w:val="0"/>
            <w:vAlign w:val="center"/>
          </w:tcPr>
          <w:p w14:paraId="47786724">
            <w:pPr>
              <w:widowControl/>
              <w:snapToGrid w:val="0"/>
              <w:jc w:val="center"/>
              <w:rPr>
                <w:rFonts w:hint="eastAsia" w:ascii="仿宋" w:hAnsi="仿宋" w:eastAsia="仿宋" w:cs="仿宋"/>
                <w:color w:val="auto"/>
                <w:sz w:val="22"/>
                <w:szCs w:val="22"/>
                <w:highlight w:val="none"/>
              </w:rPr>
            </w:pPr>
          </w:p>
          <w:p w14:paraId="1D6AC288">
            <w:pPr>
              <w:widowControl/>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p>
          <w:p w14:paraId="05A9CB7D">
            <w:pPr>
              <w:widowControl/>
              <w:snapToGrid w:val="0"/>
              <w:jc w:val="center"/>
              <w:rPr>
                <w:rFonts w:hint="eastAsia" w:ascii="仿宋" w:hAnsi="仿宋" w:eastAsia="仿宋" w:cs="仿宋"/>
                <w:color w:val="auto"/>
                <w:sz w:val="22"/>
                <w:szCs w:val="22"/>
                <w:highlight w:val="none"/>
              </w:rPr>
            </w:pPr>
          </w:p>
        </w:tc>
        <w:tc>
          <w:tcPr>
            <w:tcW w:w="960" w:type="dxa"/>
            <w:noWrap w:val="0"/>
            <w:vAlign w:val="center"/>
          </w:tcPr>
          <w:p w14:paraId="63BAF645">
            <w:pPr>
              <w:widowControl/>
              <w:snapToGrid w:val="0"/>
              <w:jc w:val="center"/>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10</w:t>
            </w:r>
            <w:r>
              <w:rPr>
                <w:rFonts w:hint="eastAsia" w:ascii="仿宋" w:hAnsi="仿宋" w:eastAsia="仿宋" w:cs="仿宋"/>
                <w:bCs/>
                <w:color w:val="auto"/>
                <w:sz w:val="22"/>
                <w:szCs w:val="22"/>
                <w:highlight w:val="none"/>
              </w:rPr>
              <w:t>分</w:t>
            </w:r>
          </w:p>
        </w:tc>
        <w:tc>
          <w:tcPr>
            <w:tcW w:w="5835" w:type="dxa"/>
            <w:noWrap w:val="0"/>
            <w:vAlign w:val="center"/>
          </w:tcPr>
          <w:p w14:paraId="2223C63B">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（1）满足磋商文件要求且最后报价最低的供应商的价格为磋商基准价，其价格分为满分。其他供应商的价格分统一按照下列公式计算：</w:t>
            </w:r>
          </w:p>
          <w:p w14:paraId="53E5AC75">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（2）磋商报价得分=（磋商基准价/最后磋商报价）×10</w:t>
            </w:r>
          </w:p>
        </w:tc>
        <w:tc>
          <w:tcPr>
            <w:tcW w:w="1221" w:type="dxa"/>
            <w:noWrap w:val="0"/>
            <w:vAlign w:val="center"/>
          </w:tcPr>
          <w:p w14:paraId="4A9FCB41">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p>
        </w:tc>
      </w:tr>
      <w:tr w14:paraId="3664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715" w:type="dxa"/>
            <w:noWrap w:val="0"/>
            <w:vAlign w:val="center"/>
          </w:tcPr>
          <w:p w14:paraId="7564EE33">
            <w:pPr>
              <w:widowControl/>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88" w:type="dxa"/>
            <w:noWrap w:val="0"/>
            <w:vAlign w:val="center"/>
          </w:tcPr>
          <w:p w14:paraId="5834657D">
            <w:pPr>
              <w:snapToGrid w:val="0"/>
              <w:jc w:val="center"/>
              <w:rPr>
                <w:rFonts w:hint="default"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项目服务措施</w:t>
            </w:r>
          </w:p>
        </w:tc>
        <w:tc>
          <w:tcPr>
            <w:tcW w:w="960" w:type="dxa"/>
            <w:noWrap w:val="0"/>
            <w:vAlign w:val="center"/>
          </w:tcPr>
          <w:p w14:paraId="061F32CA">
            <w:pPr>
              <w:snapToGrid w:val="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14分</w:t>
            </w:r>
          </w:p>
        </w:tc>
        <w:tc>
          <w:tcPr>
            <w:tcW w:w="5835" w:type="dxa"/>
            <w:noWrap w:val="0"/>
            <w:vAlign w:val="center"/>
          </w:tcPr>
          <w:p w14:paraId="605FB13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根据供应商针对本项目提供的项目服务进度计划与措施，包括①详细的项目进度计划、②完整的项目服务周期保证措施、③劳动力配备及管理措施、④主要人、料、机使用计划及管理措施，进行综合打分。完全满足采购需求的得6分，每有一项漏项的扣1.5分，每有一项存在内容错误或缺陷的扣0.75分，扣完为止。</w:t>
            </w:r>
          </w:p>
          <w:p w14:paraId="2D1F2DFC">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根据供应商针对本项目提供的质量保证措施，包括①制定完整的质量保证体系、②确保项目质量的技术组织措施、③针对质量目标及质量控制的保证措施、④制定质量管理制度及检查制度，进行综合打分。完全满足采购需求的得4分，每有一项漏项的扣1分，每有一项存在内容错误或缺陷的扣0.5分，扣完为止。</w:t>
            </w:r>
          </w:p>
          <w:p w14:paraId="5661697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根据供应商针对本项目提供的安全防护措施，包括①制定完整的项目实施安全保障体系、②制定完整的安装措施、③安全教育及培训计划、④安全保证措施及安全应急预案，进行综合打分。完全满足采购需求的得4分，每有一项漏项的扣1分，每有一项存在内容错误或缺陷的扣0.5分，扣完为止。</w:t>
            </w:r>
          </w:p>
          <w:p w14:paraId="45815987">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highlight w:val="none"/>
                <w:lang w:val="en-US" w:eastAsia="zh-CN"/>
              </w:rPr>
            </w:pPr>
            <w:r>
              <w:rPr>
                <w:rFonts w:hint="eastAsia" w:ascii="仿宋" w:hAnsi="仿宋" w:eastAsia="仿宋" w:cs="仿宋"/>
                <w:color w:val="auto"/>
                <w:sz w:val="22"/>
                <w:szCs w:val="22"/>
                <w:highlight w:val="none"/>
                <w:lang w:val="en-US" w:eastAsia="zh-CN"/>
              </w:rPr>
              <w:t>(注:内容错误或缺陷系指以下情形中的任意一项:项目名称、服务内</w:t>
            </w:r>
            <w:bookmarkStart w:id="87" w:name="_GoBack"/>
            <w:bookmarkEnd w:id="87"/>
            <w:r>
              <w:rPr>
                <w:rFonts w:hint="eastAsia" w:ascii="仿宋" w:hAnsi="仿宋" w:eastAsia="仿宋" w:cs="仿宋"/>
                <w:color w:val="auto"/>
                <w:sz w:val="22"/>
                <w:szCs w:val="22"/>
                <w:highlight w:val="none"/>
                <w:lang w:val="en-US" w:eastAsia="zh-CN"/>
              </w:rPr>
              <w:t>容及要求、实施地点、涉及的规范、标准与本项目要求不一致;技术环节不规范或漏缺项;实施操作流程不规范或漏缺项;对于项目及工作的理解片面主观;方案内容不清晰或交叉混乱;方案内容与项目内在需求有漏项;衔接时效性差无法及时解决问题;各项保障措施简单片面;人员设置与本项目无关等。)</w:t>
            </w:r>
          </w:p>
        </w:tc>
        <w:tc>
          <w:tcPr>
            <w:tcW w:w="1221" w:type="dxa"/>
            <w:noWrap w:val="0"/>
            <w:vAlign w:val="center"/>
          </w:tcPr>
          <w:p w14:paraId="637BAEEA">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p>
        </w:tc>
      </w:tr>
      <w:tr w14:paraId="6061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5" w:type="dxa"/>
            <w:noWrap w:val="0"/>
            <w:vAlign w:val="center"/>
          </w:tcPr>
          <w:p w14:paraId="037171FC">
            <w:pPr>
              <w:widowControl/>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88" w:type="dxa"/>
            <w:noWrap w:val="0"/>
            <w:vAlign w:val="center"/>
          </w:tcPr>
          <w:p w14:paraId="11D6C3F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设计方案</w:t>
            </w:r>
          </w:p>
          <w:p w14:paraId="233CAE70">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p>
        </w:tc>
        <w:tc>
          <w:tcPr>
            <w:tcW w:w="960" w:type="dxa"/>
            <w:noWrap w:val="0"/>
            <w:vAlign w:val="center"/>
          </w:tcPr>
          <w:p w14:paraId="49AE5773">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30分</w:t>
            </w:r>
          </w:p>
        </w:tc>
        <w:tc>
          <w:tcPr>
            <w:tcW w:w="5835" w:type="dxa"/>
            <w:noWrap w:val="0"/>
            <w:vAlign w:val="center"/>
          </w:tcPr>
          <w:p w14:paraId="05A461F4">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设计方案体现应包括空间及各区域主题的构思和灯光效果，包括①平面布局图②顶面材质图③顶面灯光定位图④墙面立面图（标注材质）⑤造型区域制作剖面图⑥参观流项图方面综合度进行评审。完全满足服务要求得30分，每有一项缺项的扣5分;内容错误或缺陷的每项扣2.5分，扣完为止。</w:t>
            </w:r>
          </w:p>
          <w:p w14:paraId="16260326">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内容错误或缺陷系指以下情形中的任意一项:项目名称、服务内容及要求、实施地点、涉及的规范、标准与本项目要求不一致;技术环节不规范或漏缺项;实施操作流程不规范或漏缺项;对于项目及工作的理解片面主观;方案内容不清晰或交叉混乱;方案内容与项目内在需求有漏项;衔接时效性差无法及时解决问题;各项保障措施简单片面;人员设置与本项目无关等。)</w:t>
            </w:r>
          </w:p>
        </w:tc>
        <w:tc>
          <w:tcPr>
            <w:tcW w:w="1221" w:type="dxa"/>
            <w:noWrap w:val="0"/>
            <w:vAlign w:val="center"/>
          </w:tcPr>
          <w:p w14:paraId="5D0890CB">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p>
        </w:tc>
      </w:tr>
      <w:tr w14:paraId="1BF2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jc w:val="center"/>
        </w:trPr>
        <w:tc>
          <w:tcPr>
            <w:tcW w:w="715" w:type="dxa"/>
            <w:noWrap w:val="0"/>
            <w:vAlign w:val="center"/>
          </w:tcPr>
          <w:p w14:paraId="190BCCAE">
            <w:pPr>
              <w:snapToGrid w:val="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4</w:t>
            </w:r>
          </w:p>
        </w:tc>
        <w:tc>
          <w:tcPr>
            <w:tcW w:w="1288" w:type="dxa"/>
            <w:noWrap w:val="0"/>
            <w:vAlign w:val="center"/>
          </w:tcPr>
          <w:p w14:paraId="5E28BB3B">
            <w:pPr>
              <w:pStyle w:val="33"/>
              <w:tabs>
                <w:tab w:val="left" w:pos="0"/>
              </w:tabs>
              <w:kinsoku w:val="0"/>
              <w:wordWrap/>
              <w:overflowPunct w:val="0"/>
              <w:topLinePunct w:val="0"/>
              <w:autoSpaceDE w:val="0"/>
              <w:autoSpaceDN w:val="0"/>
              <w:adjustRightInd w:val="0"/>
              <w:snapToGrid w:val="0"/>
              <w:ind w:left="42" w:leftChars="20" w:right="42" w:rightChars="20"/>
              <w:jc w:val="both"/>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效果图</w:t>
            </w:r>
          </w:p>
          <w:p w14:paraId="0B07DE28">
            <w:pPr>
              <w:snapToGrid w:val="0"/>
              <w:jc w:val="center"/>
              <w:rPr>
                <w:rFonts w:hint="default" w:ascii="仿宋" w:hAnsi="仿宋" w:eastAsia="仿宋" w:cs="仿宋"/>
                <w:color w:val="auto"/>
                <w:kern w:val="2"/>
                <w:sz w:val="22"/>
                <w:szCs w:val="22"/>
                <w:highlight w:val="none"/>
                <w:lang w:val="en-US" w:eastAsia="zh-CN" w:bidi="ar-SA"/>
              </w:rPr>
            </w:pPr>
          </w:p>
        </w:tc>
        <w:tc>
          <w:tcPr>
            <w:tcW w:w="960" w:type="dxa"/>
            <w:noWrap w:val="0"/>
            <w:vAlign w:val="center"/>
          </w:tcPr>
          <w:p w14:paraId="5FC35627">
            <w:pPr>
              <w:snapToGrid w:val="0"/>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42分</w:t>
            </w:r>
          </w:p>
        </w:tc>
        <w:tc>
          <w:tcPr>
            <w:tcW w:w="5835" w:type="dxa"/>
            <w:noWrap w:val="0"/>
            <w:vAlign w:val="center"/>
          </w:tcPr>
          <w:p w14:paraId="130037F3">
            <w:pPr>
              <w:numPr>
                <w:ilvl w:val="0"/>
                <w:numId w:val="6"/>
              </w:numPr>
              <w:kinsoku w:val="0"/>
              <w:wordWrap w:val="0"/>
              <w:overflowPunct w:val="0"/>
              <w:topLinePunct/>
              <w:autoSpaceDE w:val="0"/>
              <w:autoSpaceDN w:val="0"/>
              <w:adjustRightInd w:val="0"/>
              <w:snapToGrid w:val="0"/>
              <w:spacing w:line="360" w:lineRule="exact"/>
              <w:ind w:right="42" w:rightChars="20" w:firstLine="440" w:firstLineChars="200"/>
              <w:rPr>
                <w:rFonts w:hint="eastAsia" w:ascii="仿宋" w:hAnsi="仿宋" w:eastAsia="仿宋" w:cs="仿宋"/>
                <w:color w:val="auto"/>
                <w:kern w:val="2"/>
                <w:sz w:val="22"/>
                <w:szCs w:val="22"/>
                <w:highlight w:val="none"/>
                <w:lang w:val="en-US" w:eastAsia="zh-CN" w:bidi="ar-SA"/>
              </w:rPr>
            </w:pPr>
            <w:bookmarkStart w:id="85" w:name="_Hlk146616013"/>
            <w:r>
              <w:rPr>
                <w:rFonts w:hint="eastAsia" w:ascii="仿宋" w:hAnsi="仿宋" w:eastAsia="仿宋" w:cs="仿宋"/>
                <w:color w:val="auto"/>
                <w:kern w:val="2"/>
                <w:sz w:val="22"/>
                <w:szCs w:val="22"/>
                <w:highlight w:val="none"/>
                <w:lang w:val="en-US" w:eastAsia="zh-CN" w:bidi="ar-SA"/>
              </w:rPr>
              <w:t>供应商提供效果图，包括①俯视效果图1张，②各角度效果图5张，③近景效果图5张。效果图中应融入铁道文化、铁路工程学院文化。</w:t>
            </w:r>
            <w:bookmarkEnd w:id="85"/>
          </w:p>
          <w:p w14:paraId="69C8C299">
            <w:pPr>
              <w:kinsoku w:val="0"/>
              <w:wordWrap w:val="0"/>
              <w:overflowPunct w:val="0"/>
              <w:topLinePunct/>
              <w:autoSpaceDE w:val="0"/>
              <w:autoSpaceDN w:val="0"/>
              <w:adjustRightInd w:val="0"/>
              <w:snapToGrid w:val="0"/>
              <w:spacing w:line="360" w:lineRule="exact"/>
              <w:ind w:right="42" w:rightChars="2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效果图整体布局美观合理，符合工铁道文化定位，完全符合采购人需求的得33分，在此基础上，每少一张的扣3分，每有一张效果图内容简单，不符合采购需求，扣1.5分，扣完为止。</w:t>
            </w:r>
          </w:p>
          <w:p w14:paraId="625C94BF">
            <w:pPr>
              <w:kinsoku w:val="0"/>
              <w:wordWrap w:val="0"/>
              <w:overflowPunct w:val="0"/>
              <w:topLinePunct/>
              <w:autoSpaceDE w:val="0"/>
              <w:autoSpaceDN w:val="0"/>
              <w:adjustRightInd w:val="0"/>
              <w:snapToGrid w:val="0"/>
              <w:spacing w:line="360" w:lineRule="exact"/>
              <w:ind w:right="42" w:rightChars="20" w:firstLine="440" w:firstLineChars="200"/>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2、安装俯视图、区域角度透视图、近景图三方面要求提供的效果图，效果图整体布局美观合理，完全符合采购人需求的得9分，各区域图缺少一张扣3分，每有一张效果图内容简单，不符合采购需求扣1.5分，扣完为止。</w:t>
            </w:r>
          </w:p>
          <w:p w14:paraId="7139D997">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注：效果图采用A3纸彩色打印并单独装订成册，否则不得分。</w:t>
            </w:r>
          </w:p>
        </w:tc>
        <w:tc>
          <w:tcPr>
            <w:tcW w:w="1221" w:type="dxa"/>
            <w:noWrap w:val="0"/>
            <w:vAlign w:val="center"/>
          </w:tcPr>
          <w:p w14:paraId="2CBEA356">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p>
        </w:tc>
      </w:tr>
      <w:tr w14:paraId="1A6C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715" w:type="dxa"/>
            <w:noWrap w:val="0"/>
            <w:vAlign w:val="center"/>
          </w:tcPr>
          <w:p w14:paraId="347C3375">
            <w:pPr>
              <w:snapToGrid w:val="0"/>
              <w:jc w:val="center"/>
              <w:rPr>
                <w:rFonts w:hint="eastAsia" w:ascii="仿宋" w:hAnsi="仿宋" w:eastAsia="仿宋" w:cs="仿宋"/>
                <w:bCs/>
                <w:color w:val="auto"/>
                <w:sz w:val="22"/>
                <w:szCs w:val="22"/>
                <w:highlight w:val="none"/>
                <w:lang w:val="en-US" w:eastAsia="zh-CN"/>
              </w:rPr>
            </w:pPr>
            <w:r>
              <w:rPr>
                <w:rFonts w:hint="eastAsia" w:ascii="仿宋" w:hAnsi="仿宋" w:eastAsia="仿宋" w:cs="仿宋"/>
                <w:bCs/>
                <w:color w:val="auto"/>
                <w:sz w:val="22"/>
                <w:szCs w:val="22"/>
                <w:highlight w:val="none"/>
                <w:lang w:val="en-US" w:eastAsia="zh-CN"/>
              </w:rPr>
              <w:t>5</w:t>
            </w:r>
          </w:p>
        </w:tc>
        <w:tc>
          <w:tcPr>
            <w:tcW w:w="1288" w:type="dxa"/>
            <w:noWrap w:val="0"/>
            <w:vAlign w:val="center"/>
          </w:tcPr>
          <w:p w14:paraId="6C3C6EE0">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供应商业绩</w:t>
            </w:r>
          </w:p>
        </w:tc>
        <w:tc>
          <w:tcPr>
            <w:tcW w:w="960" w:type="dxa"/>
            <w:noWrap w:val="0"/>
            <w:vAlign w:val="center"/>
          </w:tcPr>
          <w:p w14:paraId="09E7AFE7">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4分</w:t>
            </w:r>
          </w:p>
        </w:tc>
        <w:tc>
          <w:tcPr>
            <w:tcW w:w="5835" w:type="dxa"/>
            <w:noWrap w:val="0"/>
            <w:vAlign w:val="center"/>
          </w:tcPr>
          <w:p w14:paraId="24F03A3A">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根据供应商2021年1月1日至提交首次响应文件截止日的类似业绩进行评审。每具有1个得5分，最多得10分。</w:t>
            </w:r>
          </w:p>
          <w:p w14:paraId="4E765639">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注：业绩证明材料以合同或中标（成交）通知书为准</w:t>
            </w:r>
          </w:p>
        </w:tc>
        <w:tc>
          <w:tcPr>
            <w:tcW w:w="1221" w:type="dxa"/>
            <w:noWrap w:val="0"/>
            <w:vAlign w:val="center"/>
          </w:tcPr>
          <w:p w14:paraId="7EC5F6EA">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center"/>
              <w:textAlignment w:val="auto"/>
              <w:outlineLvl w:val="9"/>
              <w:rPr>
                <w:rFonts w:hint="eastAsia" w:ascii="仿宋" w:hAnsi="仿宋" w:eastAsia="仿宋" w:cs="仿宋"/>
                <w:color w:val="auto"/>
                <w:sz w:val="22"/>
                <w:szCs w:val="22"/>
                <w:highlight w:val="none"/>
                <w:lang w:val="en-US" w:eastAsia="zh-CN"/>
              </w:rPr>
            </w:pPr>
          </w:p>
        </w:tc>
      </w:tr>
      <w:tr w14:paraId="2281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19" w:type="dxa"/>
            <w:gridSpan w:val="5"/>
            <w:noWrap w:val="0"/>
            <w:vAlign w:val="center"/>
          </w:tcPr>
          <w:p w14:paraId="231249A1">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b/>
                <w:bCs/>
                <w:sz w:val="22"/>
                <w:szCs w:val="21"/>
                <w:highlight w:val="none"/>
              </w:rPr>
            </w:pPr>
            <w:r>
              <w:rPr>
                <w:rFonts w:hint="eastAsia" w:ascii="仿宋" w:hAnsi="仿宋" w:eastAsia="仿宋"/>
                <w:b/>
                <w:bCs/>
                <w:sz w:val="22"/>
                <w:szCs w:val="21"/>
                <w:highlight w:val="none"/>
              </w:rPr>
              <w:t>注：：</w:t>
            </w:r>
            <w:r>
              <w:rPr>
                <w:rFonts w:hint="eastAsia" w:ascii="仿宋" w:hAnsi="仿宋" w:eastAsia="仿宋"/>
                <w:b/>
                <w:bCs/>
                <w:sz w:val="22"/>
                <w:szCs w:val="21"/>
                <w:highlight w:val="none"/>
              </w:rPr>
              <w:fldChar w:fldCharType="begin"/>
            </w:r>
            <w:r>
              <w:rPr>
                <w:rFonts w:hint="eastAsia" w:ascii="仿宋" w:hAnsi="仿宋" w:eastAsia="仿宋"/>
                <w:b/>
                <w:bCs/>
                <w:sz w:val="22"/>
                <w:szCs w:val="21"/>
                <w:highlight w:val="none"/>
              </w:rPr>
              <w:instrText xml:space="preserve"> = 1 \* GB3 \* MERGEFORMAT </w:instrText>
            </w:r>
            <w:r>
              <w:rPr>
                <w:rFonts w:hint="eastAsia" w:ascii="仿宋" w:hAnsi="仿宋" w:eastAsia="仿宋"/>
                <w:b/>
                <w:bCs/>
                <w:sz w:val="22"/>
                <w:szCs w:val="21"/>
                <w:highlight w:val="none"/>
              </w:rPr>
              <w:fldChar w:fldCharType="separate"/>
            </w:r>
            <w:r>
              <w:rPr>
                <w:rFonts w:hint="eastAsia" w:ascii="仿宋" w:hAnsi="仿宋" w:eastAsia="仿宋"/>
                <w:b/>
                <w:bCs/>
                <w:sz w:val="22"/>
                <w:szCs w:val="21"/>
                <w:highlight w:val="none"/>
              </w:rPr>
              <w:t>①</w:t>
            </w:r>
            <w:r>
              <w:rPr>
                <w:rFonts w:hint="eastAsia" w:ascii="仿宋" w:hAnsi="仿宋" w:eastAsia="仿宋"/>
                <w:b/>
                <w:bCs/>
                <w:sz w:val="22"/>
                <w:szCs w:val="21"/>
                <w:highlight w:val="none"/>
              </w:rPr>
              <w:fldChar w:fldCharType="end"/>
            </w:r>
            <w:r>
              <w:rPr>
                <w:rFonts w:hint="eastAsia" w:ascii="仿宋" w:hAnsi="仿宋" w:eastAsia="仿宋"/>
                <w:b/>
                <w:bCs/>
                <w:sz w:val="22"/>
                <w:szCs w:val="21"/>
                <w:highlight w:val="none"/>
              </w:rPr>
              <w:t>评分的取值按四舍五入法，小数点后保留两位。</w:t>
            </w:r>
            <w:r>
              <w:rPr>
                <w:rFonts w:hint="eastAsia" w:ascii="仿宋" w:hAnsi="仿宋" w:eastAsia="仿宋"/>
                <w:b/>
                <w:bCs/>
                <w:sz w:val="22"/>
                <w:szCs w:val="21"/>
                <w:highlight w:val="none"/>
              </w:rPr>
              <w:fldChar w:fldCharType="begin"/>
            </w:r>
            <w:r>
              <w:rPr>
                <w:rFonts w:hint="eastAsia" w:ascii="仿宋" w:hAnsi="仿宋" w:eastAsia="仿宋"/>
                <w:b/>
                <w:bCs/>
                <w:sz w:val="22"/>
                <w:szCs w:val="21"/>
                <w:highlight w:val="none"/>
              </w:rPr>
              <w:instrText xml:space="preserve"> = 2 \* GB3 \* MERGEFORMAT </w:instrText>
            </w:r>
            <w:r>
              <w:rPr>
                <w:rFonts w:hint="eastAsia" w:ascii="仿宋" w:hAnsi="仿宋" w:eastAsia="仿宋"/>
                <w:b/>
                <w:bCs/>
                <w:sz w:val="22"/>
                <w:szCs w:val="21"/>
                <w:highlight w:val="none"/>
              </w:rPr>
              <w:fldChar w:fldCharType="separate"/>
            </w:r>
            <w:r>
              <w:rPr>
                <w:rFonts w:hint="eastAsia" w:ascii="仿宋" w:hAnsi="仿宋" w:eastAsia="仿宋"/>
                <w:b/>
                <w:bCs/>
                <w:sz w:val="22"/>
                <w:szCs w:val="21"/>
                <w:highlight w:val="none"/>
              </w:rPr>
              <w:t>②</w:t>
            </w:r>
            <w:r>
              <w:rPr>
                <w:rFonts w:hint="eastAsia" w:ascii="仿宋" w:hAnsi="仿宋" w:eastAsia="仿宋"/>
                <w:b/>
                <w:bCs/>
                <w:sz w:val="22"/>
                <w:szCs w:val="21"/>
                <w:highlight w:val="none"/>
              </w:rPr>
              <w:fldChar w:fldCharType="end"/>
            </w:r>
            <w:r>
              <w:rPr>
                <w:rFonts w:hint="eastAsia" w:ascii="仿宋" w:hAnsi="仿宋" w:eastAsia="仿宋"/>
                <w:b/>
                <w:bCs/>
                <w:sz w:val="22"/>
                <w:szCs w:val="21"/>
                <w:highlight w:val="none"/>
              </w:rPr>
              <w:t>本表中要求提供各类证明材料，均需加盖供应商单位公章，否则将不认可该项材料的有效性。③本项目不涉及节能、环境标志、无线局域网产品，故在综合评分明细表中不作体现。</w:t>
            </w:r>
          </w:p>
        </w:tc>
      </w:tr>
    </w:tbl>
    <w:p w14:paraId="138BFF59">
      <w:pPr>
        <w:keepNext w:val="0"/>
        <w:keepLines w:val="0"/>
        <w:pageBreakBefore w:val="0"/>
        <w:kinsoku/>
        <w:wordWrap/>
        <w:overflowPunct/>
        <w:topLinePunct w:val="0"/>
        <w:bidi w:val="0"/>
        <w:spacing w:line="520" w:lineRule="exact"/>
        <w:textAlignment w:val="auto"/>
        <w:rPr>
          <w:rFonts w:ascii="仿宋" w:hAnsi="仿宋" w:eastAsia="仿宋"/>
          <w:highlight w:val="none"/>
        </w:rPr>
      </w:pPr>
    </w:p>
    <w:p w14:paraId="63AA0FF7">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sz w:val="24"/>
          <w:highlight w:val="none"/>
        </w:rPr>
      </w:pPr>
      <w:r>
        <w:rPr>
          <w:rFonts w:hint="eastAsia" w:ascii="仿宋" w:hAnsi="仿宋" w:eastAsia="仿宋"/>
          <w:b/>
          <w:sz w:val="24"/>
          <w:highlight w:val="none"/>
        </w:rPr>
        <w:t>4.</w:t>
      </w:r>
      <w:r>
        <w:rPr>
          <w:rFonts w:hint="eastAsia" w:ascii="仿宋" w:hAnsi="仿宋" w:eastAsia="仿宋"/>
          <w:b/>
          <w:sz w:val="24"/>
          <w:highlight w:val="none"/>
          <w:lang w:eastAsia="zh-CN"/>
        </w:rPr>
        <w:t>磋商</w:t>
      </w:r>
      <w:r>
        <w:rPr>
          <w:rFonts w:hint="eastAsia" w:ascii="仿宋" w:hAnsi="仿宋" w:eastAsia="仿宋"/>
          <w:b/>
          <w:sz w:val="24"/>
          <w:highlight w:val="none"/>
        </w:rPr>
        <w:t>纪律及注意事项</w:t>
      </w:r>
    </w:p>
    <w:p w14:paraId="5698DEC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4.1</w:t>
      </w:r>
      <w:r>
        <w:rPr>
          <w:rFonts w:hint="eastAsia" w:ascii="仿宋" w:hAnsi="仿宋" w:eastAsia="仿宋"/>
          <w:sz w:val="24"/>
          <w:highlight w:val="none"/>
          <w:lang w:eastAsia="zh-CN"/>
        </w:rPr>
        <w:t>磋商</w:t>
      </w:r>
      <w:r>
        <w:rPr>
          <w:rFonts w:hint="eastAsia" w:ascii="仿宋" w:hAnsi="仿宋" w:eastAsia="仿宋"/>
          <w:sz w:val="24"/>
          <w:highlight w:val="none"/>
        </w:rPr>
        <w:t>小组内部讨论的情况和意见必须保密，任何人不得以任何形式透露给供应商或与供应商有关的单位或个人。</w:t>
      </w:r>
    </w:p>
    <w:p w14:paraId="15A5DF3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4.2在</w:t>
      </w:r>
      <w:r>
        <w:rPr>
          <w:rFonts w:hint="eastAsia" w:ascii="仿宋" w:hAnsi="仿宋" w:eastAsia="仿宋"/>
          <w:sz w:val="24"/>
          <w:highlight w:val="none"/>
          <w:lang w:eastAsia="zh-CN"/>
        </w:rPr>
        <w:t>磋商</w:t>
      </w:r>
      <w:r>
        <w:rPr>
          <w:rFonts w:hint="eastAsia" w:ascii="仿宋" w:hAnsi="仿宋" w:eastAsia="仿宋"/>
          <w:sz w:val="24"/>
          <w:highlight w:val="none"/>
        </w:rPr>
        <w:t>过程中，供应商不得以任何形式对</w:t>
      </w:r>
      <w:r>
        <w:rPr>
          <w:rFonts w:hint="eastAsia" w:ascii="仿宋" w:hAnsi="仿宋" w:eastAsia="仿宋"/>
          <w:sz w:val="24"/>
          <w:highlight w:val="none"/>
          <w:lang w:eastAsia="zh-CN"/>
        </w:rPr>
        <w:t>磋商</w:t>
      </w:r>
      <w:r>
        <w:rPr>
          <w:rFonts w:hint="eastAsia" w:ascii="仿宋" w:hAnsi="仿宋" w:eastAsia="仿宋"/>
          <w:sz w:val="24"/>
          <w:highlight w:val="none"/>
        </w:rPr>
        <w:t>小组成员进行私下接触，否则将取消其参与</w:t>
      </w:r>
      <w:r>
        <w:rPr>
          <w:rFonts w:hint="eastAsia" w:ascii="仿宋" w:hAnsi="仿宋" w:eastAsia="仿宋"/>
          <w:sz w:val="24"/>
          <w:highlight w:val="none"/>
          <w:lang w:eastAsia="zh-CN"/>
        </w:rPr>
        <w:t>磋商</w:t>
      </w:r>
      <w:r>
        <w:rPr>
          <w:rFonts w:hint="eastAsia" w:ascii="仿宋" w:hAnsi="仿宋" w:eastAsia="仿宋"/>
          <w:sz w:val="24"/>
          <w:highlight w:val="none"/>
        </w:rPr>
        <w:t>的资格。</w:t>
      </w:r>
    </w:p>
    <w:p w14:paraId="6A003ED1">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4.3对各供应商的商业秘密，</w:t>
      </w:r>
      <w:r>
        <w:rPr>
          <w:rFonts w:hint="eastAsia" w:ascii="仿宋" w:hAnsi="仿宋" w:eastAsia="仿宋"/>
          <w:sz w:val="24"/>
          <w:highlight w:val="none"/>
          <w:lang w:eastAsia="zh-CN"/>
        </w:rPr>
        <w:t>磋商</w:t>
      </w:r>
      <w:r>
        <w:rPr>
          <w:rFonts w:hint="eastAsia" w:ascii="仿宋" w:hAnsi="仿宋" w:eastAsia="仿宋"/>
          <w:sz w:val="24"/>
          <w:highlight w:val="none"/>
        </w:rPr>
        <w:t>小组成员应予以保密，不得泄露给其他供应商。</w:t>
      </w:r>
    </w:p>
    <w:p w14:paraId="4962DF9D">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 xml:space="preserve">4.4 </w:t>
      </w:r>
      <w:r>
        <w:rPr>
          <w:rFonts w:hint="eastAsia" w:ascii="仿宋" w:hAnsi="仿宋" w:eastAsia="仿宋"/>
          <w:sz w:val="24"/>
          <w:highlight w:val="none"/>
          <w:lang w:eastAsia="zh-CN"/>
        </w:rPr>
        <w:t>磋商</w:t>
      </w:r>
      <w:r>
        <w:rPr>
          <w:rFonts w:hint="eastAsia" w:ascii="仿宋" w:hAnsi="仿宋" w:eastAsia="仿宋"/>
          <w:sz w:val="24"/>
          <w:highlight w:val="none"/>
        </w:rPr>
        <w:t>小组独立评判，推荐成交候选人，并写出书面报告。</w:t>
      </w:r>
    </w:p>
    <w:p w14:paraId="56183EA5">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sz w:val="24"/>
          <w:highlight w:val="none"/>
        </w:rPr>
      </w:pPr>
      <w:r>
        <w:rPr>
          <w:rFonts w:hint="eastAsia" w:ascii="仿宋" w:hAnsi="仿宋" w:eastAsia="仿宋"/>
          <w:b/>
          <w:sz w:val="24"/>
          <w:highlight w:val="none"/>
          <w:lang w:val="en-US" w:eastAsia="zh-CN"/>
        </w:rPr>
        <w:t>5.</w:t>
      </w:r>
      <w:r>
        <w:rPr>
          <w:rFonts w:hint="eastAsia" w:ascii="仿宋" w:hAnsi="仿宋" w:eastAsia="仿宋"/>
          <w:b/>
          <w:sz w:val="24"/>
          <w:highlight w:val="none"/>
        </w:rPr>
        <w:t xml:space="preserve">确定成交供应商 </w:t>
      </w:r>
    </w:p>
    <w:p w14:paraId="687EE418">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5.1</w:t>
      </w:r>
      <w:r>
        <w:rPr>
          <w:rFonts w:hint="eastAsia" w:ascii="仿宋" w:hAnsi="仿宋" w:eastAsia="仿宋"/>
          <w:sz w:val="24"/>
          <w:highlight w:val="none"/>
        </w:rPr>
        <w:t xml:space="preserve">评审结束后，代理机构在评审结束之日起2个工作日内将磋商报告及有关资料送交采购人。 </w:t>
      </w:r>
    </w:p>
    <w:p w14:paraId="7FEC1A8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5.2</w:t>
      </w:r>
      <w:r>
        <w:rPr>
          <w:rFonts w:hint="eastAsia" w:ascii="仿宋" w:hAnsi="仿宋" w:eastAsia="仿宋"/>
          <w:sz w:val="24"/>
          <w:highlight w:val="none"/>
        </w:rPr>
        <w:t>采购人在收到磋商报告后5个工作日内，在磋商报告确定的成交候选供应商名单中按顺序确定成交供应商。成交候选供应商并列的，由采购人采取随机抽取的方式确定成交供应商。采购人逾期未确定成交供应商且不提出异议的，视为确定磋商报告提出的排序第一的供应商为成交供应商。</w:t>
      </w:r>
    </w:p>
    <w:p w14:paraId="2A60DE8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5.3</w:t>
      </w:r>
      <w:r>
        <w:rPr>
          <w:rFonts w:hint="eastAsia" w:ascii="仿宋" w:hAnsi="仿宋" w:eastAsia="仿宋"/>
          <w:sz w:val="24"/>
          <w:highlight w:val="none"/>
        </w:rPr>
        <w:t>根据采购人确定的成交供应商，代理机构发布成交结果公告</w:t>
      </w:r>
      <w:r>
        <w:rPr>
          <w:rFonts w:hint="eastAsia" w:ascii="仿宋" w:hAnsi="仿宋" w:eastAsia="仿宋"/>
          <w:sz w:val="24"/>
          <w:highlight w:val="none"/>
          <w:lang w:eastAsia="zh-CN"/>
        </w:rPr>
        <w:t>后</w:t>
      </w:r>
      <w:r>
        <w:rPr>
          <w:rFonts w:hint="eastAsia" w:ascii="仿宋" w:hAnsi="仿宋" w:eastAsia="仿宋"/>
          <w:sz w:val="24"/>
          <w:highlight w:val="none"/>
        </w:rPr>
        <w:t>，同时向成交供应商发出成交通知书。</w:t>
      </w:r>
    </w:p>
    <w:p w14:paraId="7416CF2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val="en-US" w:eastAsia="zh-CN"/>
        </w:rPr>
        <w:t>5.4</w:t>
      </w:r>
      <w:r>
        <w:rPr>
          <w:rFonts w:hint="eastAsia" w:ascii="仿宋" w:hAnsi="仿宋" w:eastAsia="仿宋"/>
          <w:sz w:val="24"/>
          <w:highlight w:val="none"/>
        </w:rPr>
        <w:t xml:space="preserve">采购人、代理机构不解释成交或未成交原因，不退回响应文件和其他响应资料。 </w:t>
      </w:r>
    </w:p>
    <w:p w14:paraId="593284A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1"/>
        <w:rPr>
          <w:rFonts w:ascii="仿宋" w:hAnsi="仿宋" w:eastAsia="仿宋"/>
          <w:b/>
          <w:sz w:val="24"/>
          <w:highlight w:val="none"/>
        </w:rPr>
      </w:pPr>
      <w:r>
        <w:rPr>
          <w:rFonts w:hint="eastAsia" w:ascii="仿宋" w:hAnsi="仿宋" w:eastAsia="仿宋"/>
          <w:sz w:val="24"/>
          <w:highlight w:val="none"/>
          <w:lang w:val="en-US" w:eastAsia="zh-CN"/>
        </w:rPr>
        <w:t>6</w:t>
      </w:r>
      <w:r>
        <w:rPr>
          <w:rFonts w:hint="eastAsia" w:ascii="仿宋" w:hAnsi="仿宋" w:eastAsia="仿宋"/>
          <w:sz w:val="24"/>
          <w:highlight w:val="none"/>
        </w:rPr>
        <w:t>.</w:t>
      </w:r>
      <w:r>
        <w:rPr>
          <w:rFonts w:hint="eastAsia" w:ascii="仿宋" w:hAnsi="仿宋" w:eastAsia="仿宋"/>
          <w:b/>
          <w:sz w:val="24"/>
          <w:highlight w:val="none"/>
          <w:lang w:eastAsia="zh-CN"/>
        </w:rPr>
        <w:t>磋商</w:t>
      </w:r>
      <w:r>
        <w:rPr>
          <w:rFonts w:hint="eastAsia" w:ascii="仿宋" w:hAnsi="仿宋" w:eastAsia="仿宋"/>
          <w:b/>
          <w:sz w:val="24"/>
          <w:highlight w:val="none"/>
        </w:rPr>
        <w:t>小组在采购活动中承担以下义务：</w:t>
      </w:r>
    </w:p>
    <w:p w14:paraId="7CCFCDC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）遵守评审工作纪律；</w:t>
      </w:r>
    </w:p>
    <w:p w14:paraId="0FAE6B0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）按照客观、公正、审慎的原则，根据</w:t>
      </w:r>
      <w:r>
        <w:rPr>
          <w:rFonts w:hint="eastAsia" w:ascii="仿宋" w:hAnsi="仿宋" w:eastAsia="仿宋"/>
          <w:sz w:val="24"/>
          <w:highlight w:val="none"/>
          <w:lang w:eastAsia="zh-CN"/>
        </w:rPr>
        <w:t>磋商</w:t>
      </w:r>
      <w:r>
        <w:rPr>
          <w:rFonts w:hint="eastAsia" w:ascii="仿宋" w:hAnsi="仿宋" w:eastAsia="仿宋"/>
          <w:sz w:val="24"/>
          <w:highlight w:val="none"/>
        </w:rPr>
        <w:t>文件规定的评审程序、评审方法和评审标准进行独立评审；</w:t>
      </w:r>
    </w:p>
    <w:p w14:paraId="192C763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）不得泄露评审文件、评审情况和在评审过程中获悉的商业秘密；</w:t>
      </w:r>
    </w:p>
    <w:p w14:paraId="163F9B0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）及时报告评审过程中发现的采购人、采购代理机构向评审专家做倾向性、误导性的解释或者说明，以及供应商行贿、提供虚假材料或者串通等违法行为；</w:t>
      </w:r>
    </w:p>
    <w:p w14:paraId="4ADAE36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）发现</w:t>
      </w:r>
      <w:r>
        <w:rPr>
          <w:rFonts w:hint="eastAsia" w:ascii="仿宋" w:hAnsi="仿宋" w:eastAsia="仿宋"/>
          <w:sz w:val="24"/>
          <w:highlight w:val="none"/>
          <w:lang w:eastAsia="zh-CN"/>
        </w:rPr>
        <w:t>磋商</w:t>
      </w:r>
      <w:r>
        <w:rPr>
          <w:rFonts w:hint="eastAsia" w:ascii="仿宋" w:hAnsi="仿宋" w:eastAsia="仿宋"/>
          <w:sz w:val="24"/>
          <w:highlight w:val="none"/>
        </w:rPr>
        <w:t>文件内容违反国家有关强制性规定或者</w:t>
      </w:r>
      <w:r>
        <w:rPr>
          <w:rFonts w:hint="eastAsia" w:ascii="仿宋" w:hAnsi="仿宋" w:eastAsia="仿宋"/>
          <w:sz w:val="24"/>
          <w:highlight w:val="none"/>
          <w:lang w:eastAsia="zh-CN"/>
        </w:rPr>
        <w:t>磋商</w:t>
      </w:r>
      <w:r>
        <w:rPr>
          <w:rFonts w:hint="eastAsia" w:ascii="仿宋" w:hAnsi="仿宋" w:eastAsia="仿宋"/>
          <w:sz w:val="24"/>
          <w:highlight w:val="none"/>
        </w:rPr>
        <w:t>文件存在歧义、重大缺陷导致评审工作无法进行时，停止评审并向采购人或者采购代理机构书面说明情况；</w:t>
      </w:r>
    </w:p>
    <w:p w14:paraId="5E6488E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）及时向监察等部门举报在评审过程中受到非法干预的情况；</w:t>
      </w:r>
    </w:p>
    <w:p w14:paraId="499A294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7</w:t>
      </w:r>
      <w:r>
        <w:rPr>
          <w:rFonts w:hint="eastAsia" w:ascii="仿宋" w:hAnsi="仿宋" w:eastAsia="仿宋"/>
          <w:sz w:val="24"/>
          <w:highlight w:val="none"/>
        </w:rPr>
        <w:t>）配合答复处理供应商的询问、质疑和投诉等事项；</w:t>
      </w:r>
    </w:p>
    <w:p w14:paraId="4D6DB44F">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8</w:t>
      </w:r>
      <w:r>
        <w:rPr>
          <w:rFonts w:hint="eastAsia" w:ascii="仿宋" w:hAnsi="仿宋" w:eastAsia="仿宋"/>
          <w:sz w:val="24"/>
          <w:highlight w:val="none"/>
        </w:rPr>
        <w:t>）法律、法规和规章规定的其他义务。</w:t>
      </w:r>
    </w:p>
    <w:p w14:paraId="35E4FBA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sz w:val="24"/>
          <w:highlight w:val="none"/>
        </w:rPr>
      </w:pPr>
      <w:r>
        <w:rPr>
          <w:rFonts w:hint="eastAsia" w:ascii="仿宋" w:hAnsi="仿宋" w:eastAsia="仿宋"/>
          <w:b/>
          <w:sz w:val="24"/>
          <w:highlight w:val="none"/>
          <w:lang w:val="en-US" w:eastAsia="zh-CN"/>
        </w:rPr>
        <w:t>7</w:t>
      </w:r>
      <w:r>
        <w:rPr>
          <w:rFonts w:hint="eastAsia" w:ascii="仿宋" w:hAnsi="仿宋" w:eastAsia="仿宋"/>
          <w:b/>
          <w:sz w:val="24"/>
          <w:highlight w:val="none"/>
        </w:rPr>
        <w:t>.评审专家在采购活动中应当遵守以下工作纪律：</w:t>
      </w:r>
    </w:p>
    <w:p w14:paraId="3B7241A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1</w:t>
      </w:r>
      <w:r>
        <w:rPr>
          <w:rFonts w:hint="eastAsia" w:ascii="仿宋" w:hAnsi="仿宋" w:eastAsia="仿宋"/>
          <w:sz w:val="24"/>
          <w:highlight w:val="none"/>
        </w:rPr>
        <w:t>）评审前，应当将通讯工具或者相关电子设备交由采购代理机构统一保管；</w:t>
      </w:r>
    </w:p>
    <w:p w14:paraId="5130077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2</w:t>
      </w:r>
      <w:r>
        <w:rPr>
          <w:rFonts w:hint="eastAsia" w:ascii="仿宋" w:hAnsi="仿宋" w:eastAsia="仿宋"/>
          <w:sz w:val="24"/>
          <w:highlight w:val="none"/>
        </w:rPr>
        <w:t>）评审过程中，不得与外界联系，因发生不可预见情况，确实需要与外界联系的，应当在监督人员监督之下办理；</w:t>
      </w:r>
    </w:p>
    <w:p w14:paraId="071EDE89">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3</w:t>
      </w:r>
      <w:r>
        <w:rPr>
          <w:rFonts w:hint="eastAsia" w:ascii="仿宋" w:hAnsi="仿宋" w:eastAsia="仿宋"/>
          <w:sz w:val="24"/>
          <w:highlight w:val="none"/>
        </w:rPr>
        <w:t>）评审过程中，不得发表影响评审公正的倾向性、歧视性言论，不得征询或者接受采购人的倾向性意见，不得明示或暗示供应商在澄清时表达与其响应文件原义不同的意见，不得以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sz w:val="24"/>
          <w:highlight w:val="none"/>
          <w:lang w:eastAsia="zh-CN"/>
        </w:rPr>
        <w:t>磋商</w:t>
      </w:r>
      <w:r>
        <w:rPr>
          <w:rFonts w:hint="eastAsia" w:ascii="仿宋" w:hAnsi="仿宋" w:eastAsia="仿宋"/>
          <w:sz w:val="24"/>
          <w:highlight w:val="none"/>
        </w:rPr>
        <w:t>文件没有规定的评审方法和标准作为评审的依据，不得修改或者细化评审程序、评审方法、</w:t>
      </w:r>
      <w:r>
        <w:rPr>
          <w:rFonts w:hint="eastAsia" w:ascii="仿宋" w:hAnsi="仿宋" w:eastAsia="仿宋"/>
          <w:sz w:val="24"/>
          <w:highlight w:val="none"/>
          <w:lang w:eastAsia="zh-CN"/>
        </w:rPr>
        <w:t>评分因素</w:t>
      </w:r>
      <w:r>
        <w:rPr>
          <w:rFonts w:hint="eastAsia" w:ascii="仿宋" w:hAnsi="仿宋" w:eastAsia="仿宋"/>
          <w:sz w:val="24"/>
          <w:highlight w:val="none"/>
        </w:rPr>
        <w:t>和评审标准，不得违规撰写评审意见，不得拒绝对自己的评审意见签字确认；</w:t>
      </w:r>
    </w:p>
    <w:p w14:paraId="0615ABE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4</w:t>
      </w:r>
      <w:r>
        <w:rPr>
          <w:rFonts w:hint="eastAsia" w:ascii="仿宋" w:hAnsi="仿宋" w:eastAsia="仿宋"/>
          <w:sz w:val="24"/>
          <w:highlight w:val="none"/>
        </w:rPr>
        <w:t>）在评审过程中和评审结束后，不得记录、复制或带走任何评审资料，不得向外界透露评审内容；</w:t>
      </w:r>
    </w:p>
    <w:p w14:paraId="714934E7">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5</w:t>
      </w:r>
      <w:r>
        <w:rPr>
          <w:rFonts w:hint="eastAsia" w:ascii="仿宋" w:hAnsi="仿宋" w:eastAsia="仿宋"/>
          <w:sz w:val="24"/>
          <w:highlight w:val="none"/>
        </w:rPr>
        <w:t>）评审现场服从采购代理机构工作人员的管理，接受现场监督人员的合法监督；</w:t>
      </w:r>
    </w:p>
    <w:p w14:paraId="55CF8E5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rPr>
        <w:t>（</w:t>
      </w:r>
      <w:r>
        <w:rPr>
          <w:rFonts w:hint="eastAsia" w:ascii="仿宋" w:hAnsi="仿宋" w:eastAsia="仿宋"/>
          <w:sz w:val="24"/>
          <w:highlight w:val="none"/>
          <w:lang w:val="en-US" w:eastAsia="zh-CN"/>
        </w:rPr>
        <w:t>6</w:t>
      </w:r>
      <w:r>
        <w:rPr>
          <w:rFonts w:hint="eastAsia" w:ascii="仿宋" w:hAnsi="仿宋" w:eastAsia="仿宋"/>
          <w:sz w:val="24"/>
          <w:highlight w:val="none"/>
        </w:rPr>
        <w:t>）遵守有关廉洁自律规定，不得私下接触供应商，不得收受供应商及有关业务单位和个人的财物或好处，不得接受采购代理机构的请托。</w:t>
      </w:r>
    </w:p>
    <w:p w14:paraId="0A45AAC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highlight w:val="none"/>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7</w:t>
      </w:r>
      <w:r>
        <w:rPr>
          <w:rFonts w:hint="eastAsia" w:ascii="仿宋" w:hAnsi="仿宋" w:eastAsia="仿宋"/>
          <w:sz w:val="24"/>
          <w:highlight w:val="none"/>
          <w:lang w:eastAsia="zh-CN"/>
        </w:rPr>
        <w:t>）有关</w:t>
      </w:r>
      <w:r>
        <w:rPr>
          <w:rFonts w:hint="eastAsia" w:ascii="仿宋" w:hAnsi="仿宋" w:eastAsia="仿宋"/>
          <w:sz w:val="24"/>
          <w:highlight w:val="none"/>
          <w:lang w:val="en-US" w:eastAsia="zh-CN"/>
        </w:rPr>
        <w:t>主管</w:t>
      </w:r>
      <w:r>
        <w:rPr>
          <w:rFonts w:hint="eastAsia" w:ascii="仿宋" w:hAnsi="仿宋" w:eastAsia="仿宋"/>
          <w:sz w:val="24"/>
          <w:highlight w:val="none"/>
          <w:lang w:eastAsia="zh-CN"/>
        </w:rPr>
        <w:t>部门（机构）制定的其他评审工作纪律。</w:t>
      </w:r>
    </w:p>
    <w:p w14:paraId="16B22844">
      <w:pPr>
        <w:pStyle w:val="3"/>
        <w:spacing w:before="0" w:after="0" w:line="240" w:lineRule="auto"/>
        <w:jc w:val="center"/>
        <w:rPr>
          <w:rFonts w:ascii="仿宋" w:hAnsi="仿宋" w:eastAsia="仿宋"/>
          <w:bCs/>
          <w:color w:val="000000"/>
          <w:sz w:val="36"/>
          <w:szCs w:val="36"/>
          <w:highlight w:val="none"/>
        </w:rPr>
      </w:pPr>
      <w:r>
        <w:rPr>
          <w:rFonts w:hint="eastAsia" w:ascii="仿宋" w:hAnsi="仿宋" w:eastAsia="仿宋"/>
          <w:sz w:val="24"/>
          <w:highlight w:val="none"/>
        </w:rPr>
        <w:br w:type="page"/>
      </w:r>
      <w:bookmarkStart w:id="86" w:name="_Toc16524"/>
      <w:r>
        <w:rPr>
          <w:rFonts w:hint="eastAsia" w:ascii="仿宋" w:hAnsi="仿宋" w:eastAsia="仿宋"/>
          <w:b/>
          <w:bCs w:val="0"/>
          <w:color w:val="000000"/>
          <w:sz w:val="36"/>
          <w:szCs w:val="36"/>
          <w:highlight w:val="none"/>
        </w:rPr>
        <w:t>第</w:t>
      </w:r>
      <w:r>
        <w:rPr>
          <w:rFonts w:hint="eastAsia" w:ascii="仿宋" w:hAnsi="仿宋" w:eastAsia="仿宋"/>
          <w:b/>
          <w:bCs w:val="0"/>
          <w:color w:val="000000"/>
          <w:sz w:val="36"/>
          <w:szCs w:val="36"/>
          <w:highlight w:val="none"/>
          <w:lang w:eastAsia="zh-CN"/>
        </w:rPr>
        <w:t>八</w:t>
      </w:r>
      <w:r>
        <w:rPr>
          <w:rFonts w:hint="eastAsia" w:ascii="仿宋" w:hAnsi="仿宋" w:eastAsia="仿宋"/>
          <w:b/>
          <w:bCs w:val="0"/>
          <w:color w:val="000000"/>
          <w:sz w:val="36"/>
          <w:szCs w:val="36"/>
          <w:highlight w:val="none"/>
        </w:rPr>
        <w:t>章 采购合同（草案）</w:t>
      </w:r>
      <w:bookmarkEnd w:id="83"/>
      <w:bookmarkEnd w:id="86"/>
    </w:p>
    <w:p w14:paraId="3D783CB1">
      <w:pPr>
        <w:spacing w:line="480" w:lineRule="exact"/>
        <w:rPr>
          <w:rFonts w:ascii="仿宋" w:hAnsi="仿宋" w:eastAsia="仿宋"/>
          <w:sz w:val="28"/>
          <w:highlight w:val="none"/>
        </w:rPr>
      </w:pPr>
    </w:p>
    <w:p w14:paraId="7AD953DD">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成都市技师学院郫都西校区工匠文</w:t>
      </w:r>
    </w:p>
    <w:p w14:paraId="53AB050F">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化教育博览园铁道文化建设项目</w:t>
      </w:r>
    </w:p>
    <w:p w14:paraId="18847F1B">
      <w:pPr>
        <w:tabs>
          <w:tab w:val="left" w:pos="0"/>
        </w:tabs>
        <w:adjustRightInd w:val="0"/>
        <w:snapToGrid w:val="0"/>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合同文本主要条款</w:t>
      </w:r>
    </w:p>
    <w:p w14:paraId="3566998B">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p>
    <w:p w14:paraId="4FD219DF">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合同编号：</w:t>
      </w:r>
    </w:p>
    <w:p w14:paraId="34951793">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签订地点：</w:t>
      </w:r>
    </w:p>
    <w:p w14:paraId="707A8C1E">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签订时间：</w:t>
      </w:r>
    </w:p>
    <w:p w14:paraId="558056ED">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甲方(采购人)：成都市技师学院</w:t>
      </w:r>
    </w:p>
    <w:p w14:paraId="39784D0C">
      <w:pPr>
        <w:pStyle w:val="61"/>
        <w:wordWrap/>
        <w:adjustRightInd w:val="0"/>
        <w:snapToGrid w:val="0"/>
        <w:spacing w:line="360" w:lineRule="auto"/>
        <w:ind w:firstLine="480" w:firstLineChars="200"/>
        <w:rPr>
          <w:rFonts w:hint="eastAsia" w:ascii="仿宋" w:hAnsi="仿宋" w:eastAsia="仿宋" w:cs="仿宋"/>
          <w:snapToGrid/>
          <w:color w:val="auto"/>
          <w:sz w:val="24"/>
          <w:szCs w:val="24"/>
          <w:highlight w:val="none"/>
        </w:rPr>
      </w:pPr>
      <w:r>
        <w:rPr>
          <w:rFonts w:hint="eastAsia" w:ascii="仿宋" w:hAnsi="仿宋" w:eastAsia="仿宋" w:cs="仿宋"/>
          <w:snapToGrid/>
          <w:color w:val="auto"/>
          <w:sz w:val="24"/>
          <w:szCs w:val="24"/>
          <w:highlight w:val="none"/>
        </w:rPr>
        <w:t xml:space="preserve">乙方(供应商)：    </w:t>
      </w:r>
    </w:p>
    <w:p w14:paraId="6D9B938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根据《中华人民共和国民法典》及</w:t>
      </w:r>
      <w:r>
        <w:rPr>
          <w:rFonts w:hint="eastAsia" w:ascii="仿宋" w:hAnsi="仿宋" w:eastAsia="仿宋" w:cs="仿宋"/>
          <w:color w:val="auto"/>
          <w:sz w:val="24"/>
          <w:szCs w:val="24"/>
          <w:highlight w:val="none"/>
          <w:lang w:eastAsia="zh-CN"/>
        </w:rPr>
        <w:t>成都市技师学院郫都西校区工匠文化教育博览园铁道文化建设项目</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xxx</w:t>
      </w:r>
      <w:r>
        <w:rPr>
          <w:rFonts w:hint="eastAsia" w:ascii="仿宋" w:hAnsi="仿宋" w:eastAsia="仿宋" w:cs="仿宋"/>
          <w:color w:val="auto"/>
          <w:sz w:val="24"/>
          <w:szCs w:val="24"/>
          <w:highlight w:val="none"/>
        </w:rPr>
        <w:t>）的采购文件、乙方的响应文件及成交通知书，甲、乙双方同意签订本合同，共同遵守如下条款：</w:t>
      </w:r>
    </w:p>
    <w:p w14:paraId="08B83015">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p>
    <w:p w14:paraId="1659D53F">
      <w:pPr>
        <w:tabs>
          <w:tab w:val="left" w:pos="0"/>
        </w:tabs>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该项目位于</w:t>
      </w:r>
      <w:r>
        <w:rPr>
          <w:rFonts w:hint="eastAsia" w:ascii="仿宋" w:hAnsi="仿宋" w:eastAsia="仿宋" w:cs="仿宋"/>
          <w:bCs/>
          <w:color w:val="auto"/>
          <w:sz w:val="24"/>
          <w:szCs w:val="24"/>
          <w:highlight w:val="none"/>
          <w:lang w:eastAsia="zh-CN"/>
        </w:rPr>
        <w:t>成都市郫都区红光街道高店路1666号</w:t>
      </w:r>
      <w:r>
        <w:rPr>
          <w:rFonts w:hint="eastAsia" w:ascii="仿宋" w:hAnsi="仿宋" w:eastAsia="仿宋" w:cs="仿宋"/>
          <w:bCs/>
          <w:color w:val="auto"/>
          <w:sz w:val="24"/>
          <w:szCs w:val="24"/>
          <w:highlight w:val="none"/>
        </w:rPr>
        <w:t>，是成都工匠文化教育博览园二期深化设计及实施的一体化项目。主要功能或目标：结合学校现有环境，完成四条路和六场景的深化设计、场景打造等内容。</w:t>
      </w:r>
    </w:p>
    <w:p w14:paraId="145A894F">
      <w:pPr>
        <w:tabs>
          <w:tab w:val="left" w:pos="0"/>
        </w:tabs>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二、服务内容及要求</w:t>
      </w:r>
    </w:p>
    <w:p w14:paraId="4AAAB77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根据甲方需求,乙方组织专业团队完成</w:t>
      </w:r>
      <w:r>
        <w:rPr>
          <w:rFonts w:hint="eastAsia" w:ascii="仿宋" w:hAnsi="仿宋" w:eastAsia="仿宋" w:cs="仿宋"/>
          <w:bCs/>
          <w:color w:val="auto"/>
          <w:sz w:val="24"/>
          <w:szCs w:val="24"/>
          <w:highlight w:val="none"/>
        </w:rPr>
        <w:t>项目</w:t>
      </w:r>
      <w:r>
        <w:rPr>
          <w:rFonts w:hint="eastAsia" w:ascii="仿宋" w:hAnsi="仿宋" w:eastAsia="仿宋" w:cs="仿宋"/>
          <w:bCs/>
          <w:color w:val="auto"/>
          <w:sz w:val="24"/>
          <w:szCs w:val="24"/>
          <w:highlight w:val="none"/>
          <w:lang w:val="en-US" w:eastAsia="zh-CN"/>
        </w:rPr>
        <w:t>文化建设</w:t>
      </w:r>
      <w:r>
        <w:rPr>
          <w:rFonts w:hint="eastAsia" w:ascii="仿宋" w:hAnsi="仿宋" w:eastAsia="仿宋" w:cs="仿宋"/>
          <w:color w:val="auto"/>
          <w:sz w:val="24"/>
          <w:szCs w:val="24"/>
          <w:highlight w:val="none"/>
        </w:rPr>
        <w:t>服务。</w:t>
      </w:r>
    </w:p>
    <w:p w14:paraId="5E54F265">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三、履约时间和方式</w:t>
      </w:r>
    </w:p>
    <w:p w14:paraId="2F30B5F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项目完成时间:120日历天（注:自合同签订次日起计算，春节等国家法定节假日除外。）</w:t>
      </w:r>
    </w:p>
    <w:p w14:paraId="15F0E45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1.2024 年x月x日前完成深化设计，并通过甲方审定。</w:t>
      </w:r>
    </w:p>
    <w:p w14:paraId="20D716D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2.2024 年X月X日前完成布展主体项目实施。</w:t>
      </w:r>
    </w:p>
    <w:p w14:paraId="7AC0CBE9">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3.2024年X月X日前完成项目全部内容以及竣工验收。</w:t>
      </w:r>
    </w:p>
    <w:p w14:paraId="2855817D">
      <w:pPr>
        <w:tabs>
          <w:tab w:val="left" w:pos="0"/>
        </w:tabs>
        <w:adjustRightInd w:val="0"/>
        <w:snapToGrid w:val="0"/>
        <w:spacing w:line="360" w:lineRule="auto"/>
        <w:ind w:left="420" w:left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四、履约地点：</w:t>
      </w:r>
      <w:r>
        <w:rPr>
          <w:rFonts w:hint="eastAsia" w:ascii="仿宋" w:hAnsi="仿宋" w:eastAsia="仿宋" w:cs="仿宋"/>
          <w:color w:val="auto"/>
          <w:sz w:val="24"/>
          <w:szCs w:val="24"/>
          <w:highlight w:val="none"/>
          <w:lang w:eastAsia="zh-CN"/>
        </w:rPr>
        <w:t>成都市郫都区红光街道高店路1666号</w:t>
      </w:r>
    </w:p>
    <w:p w14:paraId="718A87FC">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五、合同总价、付款安排、支付方式</w:t>
      </w:r>
    </w:p>
    <w:p w14:paraId="16BF528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1.合同总价：XXXX。</w:t>
      </w:r>
      <w:r>
        <w:rPr>
          <w:rFonts w:hint="eastAsia" w:ascii="仿宋" w:hAnsi="仿宋" w:eastAsia="仿宋" w:cs="仿宋"/>
          <w:bCs/>
          <w:color w:val="auto"/>
          <w:sz w:val="24"/>
          <w:szCs w:val="24"/>
          <w:highlight w:val="none"/>
        </w:rPr>
        <w:t>1.合同总价为固定包干价，包括但不限于供货、包装、运输、基础装修、设备安装、调试、人工、保险、利润、售后服务、税费等与完成本项目有关的所有费用。本合同执行期间合同总价不变，采购人无须另向供应商支付本合同规定之外的其他任何费用。</w:t>
      </w:r>
    </w:p>
    <w:p w14:paraId="045A376B">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2.付款进度安排：</w:t>
      </w:r>
    </w:p>
    <w:p w14:paraId="2AC80BE1">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合同支付方式为1次银行转账支付。项目全部实施完成后经过采购人验收合格后，自采购人收到供应商出具的符合采购人财务要求且合法有效完整的等额完税发票之日起10个工作日内，向供应商支付合同总金额的100%的价款；如采购人收到发票之日早于项目验收合格之日，则自项目验收合格之日起10个工作日内付款。</w:t>
      </w:r>
    </w:p>
    <w:p w14:paraId="1C8712D8">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供应商未提供增值税发票（普票），或发票经国税网验审不合格的，或者供应商提供的发票不满足采购人财务要求的，采购人有权拒付且不承担任何逾期付款的责任。</w:t>
      </w:r>
    </w:p>
    <w:p w14:paraId="3AFDBD09">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供应商保证提供的银行账户信息真实有效，如果供应商账户信息更改（采购人原则上不予以更换合同账户），需要在采购人付款前10个工作日内告知采购人，若因供应商原因导致采购人无法付款或错误付款，后果由供应商自行承担。3.资金支付方式：对公转账</w:t>
      </w:r>
    </w:p>
    <w:p w14:paraId="149C854B">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4.乙方指定收款账户信息：</w:t>
      </w:r>
    </w:p>
    <w:p w14:paraId="112FC08C">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注：乙方确认上述账户信息准确合法有效，若因乙方原因导致甲方无法付款或错误付款，后果由乙方自行承担。</w:t>
      </w:r>
    </w:p>
    <w:p w14:paraId="4674AEBD">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六、售后服务及要求</w:t>
      </w:r>
    </w:p>
    <w:p w14:paraId="669D5186">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1.自本项目验收合格之日起，整体免费质量售后服务保证期3年（在质量售后服务保证期内，如果展产品技术升级，乙方将及时通知甲方，如甲方有相应要求，乙方将对产品进行免费升级服务）</w:t>
      </w:r>
    </w:p>
    <w:p w14:paraId="396C2318">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2.乙方建设过程中所投入的产品属于国家规定“三包”范围的，若“三包”规定高于本合同约定的质保期的，则质保期按“三包”规定执行。</w:t>
      </w:r>
    </w:p>
    <w:p w14:paraId="67F17A7B">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3.乙方有责任对其所提供的所有产品提供以下形式的技术服务:</w:t>
      </w:r>
    </w:p>
    <w:p w14:paraId="2F868E74">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(1)日常保养:乙方每年两次派专业人员对所有产品进行检查、调整、保养，保证所提供展览展示设施及物品正常运行。</w:t>
      </w:r>
    </w:p>
    <w:p w14:paraId="766428E1">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(2）故障和修理:如因设备失控、操作不灵活、出现故障或其它问题，乙方承诺在接到甲方通知后24小时内派技术人员到现场维修及更换零配件(不可抗力因素和人为破坏造成的毁坏除外）。</w:t>
      </w:r>
    </w:p>
    <w:p w14:paraId="1611043B">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(3）质量售后服务期内每周7×24小时响应甲方要求，积极配合甲方实施和项目有关工作内容。</w:t>
      </w:r>
    </w:p>
    <w:p w14:paraId="36AB1898">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在质量售后服务期内，乙方应提供的项目及配套产品若出现质量问题，乙方将无条件的提供各种维修服务（包括零配件)﹔在质量售后服务期内，任何部件若一次维修周期超过10天或同一设备出现三次故障，乙方将更换新的设备，乙方在质量售后服务期内更换的任何零配件，应保证是其原设备或同等标准和质量的设备。</w:t>
      </w:r>
    </w:p>
    <w:p w14:paraId="092DA0A0">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5．售后服务期内，乙方保证为甲方提供免费的售后服务，因售后服务所涉及的人工费、交通费、耗材费、产品更换、维修等费用均由乙方自行负责。</w:t>
      </w:r>
    </w:p>
    <w:p w14:paraId="451E12F7">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七、双方的权利和义务</w:t>
      </w:r>
    </w:p>
    <w:p w14:paraId="53CC938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14:paraId="09D80C2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有权对合同规定范围内乙方的服务行为进行监督和检查，拥有监管权。有权定期核对乙方提供服务所配备的人员数量以及项目的实施情况，对甲方认为不合理的部分有权下达整改通知书，并要求乙方限期整改。</w:t>
      </w:r>
    </w:p>
    <w:p w14:paraId="23811BD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2.负责检查监督乙方管理工作的实施及制度的执行情况。</w:t>
      </w:r>
    </w:p>
    <w:p w14:paraId="7F475C3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3.根据本合同规定，按时向乙方支付应付服务费用。5.国家法律、法规所规定应由甲方承担的其它责任。</w:t>
      </w:r>
    </w:p>
    <w:p w14:paraId="0BF2CC1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4.甲方有权对乙方提交的设计文件进行审核并提出修改建议，要求乙方进行修改。</w:t>
      </w:r>
    </w:p>
    <w:p w14:paraId="397B4F34">
      <w:pPr>
        <w:numPr>
          <w:ilvl w:val="0"/>
          <w:numId w:val="7"/>
        </w:num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乙方的权利和义务</w:t>
      </w:r>
    </w:p>
    <w:p w14:paraId="1C9D9EF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1.乙方应按照合同约定按时完成各项工作任务，同时乙方对本合同规定的委托服务范围内的项目享有管理权及服务义务。</w:t>
      </w:r>
    </w:p>
    <w:p w14:paraId="6A55E41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2.根据本合同的规定向甲方收取相关服务费用,并有权在本项目管理范围内管理及合理使用。</w:t>
      </w:r>
    </w:p>
    <w:p w14:paraId="55641D9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3.及时向甲方通告本项目服务范围内有关服务的重大事项,及时配合处理投诉。</w:t>
      </w:r>
    </w:p>
    <w:p w14:paraId="2E7CB1F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4.接受项目行业管理部门及政府有关部门的指导，接受甲方的监督。</w:t>
      </w:r>
    </w:p>
    <w:p w14:paraId="1FF0B52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乙方应做好安全保障工作，乙方及乙方工作人员在提供服务期间的所有安全责任均由乙方负责，若发生安全事故责任的，由乙方自行处理。</w:t>
      </w:r>
    </w:p>
    <w:p w14:paraId="04993E1C">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八、履约保证金要求</w:t>
      </w:r>
    </w:p>
    <w:p w14:paraId="0369E96B">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（1）履约保证金为合同金额的百分之五，即</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应在</w:t>
      </w:r>
      <w:r>
        <w:rPr>
          <w:rFonts w:hint="eastAsia" w:ascii="仿宋" w:hAnsi="仿宋" w:eastAsia="仿宋" w:cs="仿宋"/>
          <w:bCs/>
          <w:color w:val="auto"/>
          <w:sz w:val="24"/>
          <w:szCs w:val="24"/>
          <w:highlight w:val="none"/>
          <w:lang w:eastAsia="zh-CN"/>
        </w:rPr>
        <w:t>成交通知书</w:t>
      </w:r>
      <w:r>
        <w:rPr>
          <w:rFonts w:hint="eastAsia" w:ascii="仿宋" w:hAnsi="仿宋" w:eastAsia="仿宋" w:cs="仿宋"/>
          <w:bCs/>
          <w:color w:val="auto"/>
          <w:sz w:val="24"/>
          <w:szCs w:val="24"/>
          <w:highlight w:val="none"/>
        </w:rPr>
        <w:t>发出之日起至合同签订前以银行转账形式向</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提交履约保证金。</w:t>
      </w:r>
    </w:p>
    <w:p w14:paraId="0DF35536">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（2）履行合同约定(含售后服务)完毕且经甲方验收合格后10个日历天内无息退还</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应退部分履约保证金。因</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原因逾期退还的，应当以未退还金额为基数，按合同订立时1年期贷款市场报价利率标准向</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支付相应违约金，但违约金最高不得超过未退还金额的百分之二十。甲方退还履约保证金前，乙方应向甲方提供“履约保证金缴纳凭证”、“收到退还履约保证金的收据”、“履约保证金退还申请”，若因</w:t>
      </w:r>
      <w:r>
        <w:rPr>
          <w:rFonts w:hint="eastAsia" w:ascii="仿宋" w:hAnsi="仿宋" w:eastAsia="仿宋" w:cs="仿宋"/>
          <w:bCs/>
          <w:color w:val="auto"/>
          <w:sz w:val="24"/>
          <w:szCs w:val="24"/>
          <w:highlight w:val="none"/>
          <w:lang w:val="en-US" w:eastAsia="zh-CN"/>
        </w:rPr>
        <w:t>乙方</w:t>
      </w:r>
      <w:r>
        <w:rPr>
          <w:rFonts w:hint="eastAsia" w:ascii="仿宋" w:hAnsi="仿宋" w:eastAsia="仿宋" w:cs="仿宋"/>
          <w:bCs/>
          <w:color w:val="auto"/>
          <w:sz w:val="24"/>
          <w:szCs w:val="24"/>
          <w:highlight w:val="none"/>
        </w:rPr>
        <w:t>不及时或未提供上述资料的，则</w:t>
      </w:r>
      <w:r>
        <w:rPr>
          <w:rFonts w:hint="eastAsia" w:ascii="仿宋" w:hAnsi="仿宋" w:eastAsia="仿宋" w:cs="仿宋"/>
          <w:bCs/>
          <w:color w:val="auto"/>
          <w:sz w:val="24"/>
          <w:szCs w:val="24"/>
          <w:highlight w:val="none"/>
          <w:lang w:eastAsia="zh-CN"/>
        </w:rPr>
        <w:t>甲方</w:t>
      </w:r>
      <w:r>
        <w:rPr>
          <w:rFonts w:hint="eastAsia" w:ascii="仿宋" w:hAnsi="仿宋" w:eastAsia="仿宋" w:cs="仿宋"/>
          <w:bCs/>
          <w:color w:val="auto"/>
          <w:sz w:val="24"/>
          <w:szCs w:val="24"/>
          <w:highlight w:val="none"/>
        </w:rPr>
        <w:t>有权暂停且不承担逾期退还违约责任。</w:t>
      </w:r>
    </w:p>
    <w:p w14:paraId="4FECBB0F">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（3）履约保证金汇入的银行及账号：</w:t>
      </w:r>
    </w:p>
    <w:p w14:paraId="5ACEC660">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收款账号：成都市技师学院</w:t>
      </w:r>
    </w:p>
    <w:p w14:paraId="7731F3D4">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开户行：工行成都红光支行</w:t>
      </w:r>
    </w:p>
    <w:p w14:paraId="4C671CA8">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银行账号：4402054609100031151</w:t>
      </w:r>
    </w:p>
    <w:p w14:paraId="16DC3EAE">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九、验收、交付标准和方法</w:t>
      </w:r>
    </w:p>
    <w:p w14:paraId="3F819667">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1.验收主体：甲方。</w:t>
      </w:r>
    </w:p>
    <w:p w14:paraId="3F36F5F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2.验收时间：</w:t>
      </w:r>
    </w:p>
    <w:p w14:paraId="51201C9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（1）设计验收：乙方完成深化设计后向甲方提交相关设计文件，甲方收到相关文件后10个工作日内组织对乙方的深化设计工作进行审定；</w:t>
      </w:r>
    </w:p>
    <w:p w14:paraId="019E0624">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（2）项目验收：</w:t>
      </w:r>
    </w:p>
    <w:p w14:paraId="463AAB7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项目全部实施完成后，乙方提出书面验收申请，甲方10个工作日内组织验收。</w:t>
      </w:r>
    </w:p>
    <w:p w14:paraId="776928A7">
      <w:pPr>
        <w:numPr>
          <w:ilvl w:val="0"/>
          <w:numId w:val="8"/>
        </w:numPr>
        <w:tabs>
          <w:tab w:val="left" w:pos="0"/>
          <w:tab w:val="clear" w:pos="312"/>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验收方式(方法)：现场查验。</w:t>
      </w:r>
    </w:p>
    <w:p w14:paraId="5BFE3663">
      <w:pPr>
        <w:numPr>
          <w:ilvl w:val="0"/>
          <w:numId w:val="8"/>
        </w:numPr>
        <w:tabs>
          <w:tab w:val="left" w:pos="0"/>
          <w:tab w:val="clear" w:pos="312"/>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售后服务验收为考核验收（乙方每次按照售后服务要求提供服务的视为单次售后服务合格，售后服务期内售后服务合格率[合格的售后服务次数/售后服务总次数]低于百分之八十视为售后服务不合格）。</w:t>
      </w:r>
    </w:p>
    <w:p w14:paraId="3AE7B9A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4．验收流程：</w:t>
      </w:r>
    </w:p>
    <w:p w14:paraId="7FDBAEC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(1)对乙方提供的深化设计方案、工作量明细清单进行审核，出具审核结果。</w:t>
      </w:r>
    </w:p>
    <w:p w14:paraId="2FC72E5F">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(2)项目实施完成后，对中标人提供的服务(包括提供的物料、设施设备等)内容、质量等，进行综合验收，出具验收结果。</w:t>
      </w:r>
    </w:p>
    <w:p w14:paraId="4E40542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5．验收标准</w:t>
      </w:r>
    </w:p>
    <w:p w14:paraId="6AEAB1E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w:t>
      </w:r>
      <w:r>
        <w:rPr>
          <w:rFonts w:hint="eastAsia" w:ascii="仿宋" w:hAnsi="仿宋" w:eastAsia="仿宋" w:cs="仿宋"/>
          <w:color w:val="auto"/>
          <w:sz w:val="24"/>
          <w:szCs w:val="24"/>
          <w:highlight w:val="none"/>
          <w:lang w:val="en-US" w:eastAsia="zh-CN"/>
        </w:rPr>
        <w:t>参照</w:t>
      </w:r>
      <w:r>
        <w:rPr>
          <w:rFonts w:hint="eastAsia" w:ascii="仿宋" w:hAnsi="仿宋" w:eastAsia="仿宋" w:cs="仿宋"/>
          <w:color w:val="auto"/>
          <w:sz w:val="24"/>
          <w:szCs w:val="24"/>
          <w:highlight w:val="none"/>
        </w:rPr>
        <w:t>《财政部关于进一步加强政府采购需求和履约验收管理的指导意见》(财库〔2016〕205号)、《政府采购需求管理办法》(财库〔2021〕22 号)的规定，国家相关标准、行业标准、地方标准或者其他标准、规范以及</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要求进行验收。</w:t>
      </w:r>
    </w:p>
    <w:p w14:paraId="2A2E5E5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（2）由甲方组织履约验收小组，开展项目验收工作，根据《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》、《响应文件》以及《采购合同》的条款，逐项对中标人提供的服务质量、物料质量等进行验收，审查项目资料完备性、规范性情况，审查合同内容、《</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》和《响应文件》的履行情况，审查所有物料数量、质量、性能、安全性以及各项技术指标完成情况。</w:t>
      </w:r>
    </w:p>
    <w:p w14:paraId="3B0B993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（3）对于实施情况以及结果，甲方同时还依照已经审核通过的设计方案进行验收。</w:t>
      </w:r>
    </w:p>
    <w:p w14:paraId="5F4EE9E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6.验收结果合格的，出具《验收报告》；对于深化设计阶段，审核通过后乙方方能按照相关设计文件进行施工。</w:t>
      </w:r>
    </w:p>
    <w:p w14:paraId="0BC4F84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7.验收时如发现所提交的成果不符合相关《</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》《响应文件》等标准及本合同规定之情形者：</w:t>
      </w:r>
    </w:p>
    <w:p w14:paraId="5057CB6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于深化设计部分，甲方可以提出修改意见，乙方应结合甲方修改意见对设计内容进行调整，并重新提交甲方验收，因修改设计导致后期阶段工作延期的，工期不顺延，由此产生的额外费用以及逾期完工责任由乙方自行承担；设计经过两次修改调整仍不符合标准的，视为乙方不具有履约能力，甲方有权解除合同并按本合同第十四条第（二）款第3项约定追究乙方最终的责任。</w:t>
      </w:r>
    </w:p>
    <w:p w14:paraId="1CA11D1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于施工部分，甲方应做出详尽的现场记录，或由双方签署备忘录，甲方有权依据此现场记录或备忘录要求乙方进行整改，乙方自接到甲方整改通知之日起5个日历天内完成整改，并重新提交甲方验收，因整改导致无法按时交付项目的，工期不顺延，由此产生的额外费用以及逾期完工责任由乙方自行承担；经两次整改仍不合格的，视为乙方不具有履约能力，甲方有权解除合同并按本合同第十四条第（二）款第3项约定追究乙方最终的责任。</w:t>
      </w:r>
    </w:p>
    <w:p w14:paraId="3F4BA69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次售后服务完成后，由甲方的经办人现场验收并记录，该记录作为售后服务整体验收的依据。售后服务期结束，乙方书面通知甲方进行售后服务整体验收，甲方自收到售后服务整体验收申请之日起5个工作日内核查售后服务合格率；验收合格，则签署《售后服务验收报告单》；若售后服务验收不合格，甲方有权按合同第十四条第（二）款第5项约定追究乙方的违约责任。</w:t>
      </w:r>
    </w:p>
    <w:p w14:paraId="5D103BC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7.乙方全部工作均验收合格，视为乙方完成项目交付。</w:t>
      </w:r>
    </w:p>
    <w:p w14:paraId="73C17A00">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十、权利保证</w:t>
      </w:r>
    </w:p>
    <w:p w14:paraId="3542C58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的服务或其产品的任何一部分均不会侵犯任何第三方的专利权、商标权或著作权以及其他合法权益，其提供的成果或产品也不存在任何的抵押、质押。若因权利瑕疵引起法律和经济纠纷的，甲方有权按本合同第十四条第（二）款第4项约定追究乙方责任</w:t>
      </w:r>
      <w:r>
        <w:rPr>
          <w:rFonts w:hint="eastAsia" w:ascii="仿宋" w:hAnsi="仿宋" w:eastAsia="仿宋" w:cs="仿宋"/>
          <w:snapToGrid w:val="0"/>
          <w:color w:val="auto"/>
          <w:sz w:val="24"/>
          <w:szCs w:val="24"/>
          <w:highlight w:val="none"/>
        </w:rPr>
        <w:t>。</w:t>
      </w:r>
    </w:p>
    <w:p w14:paraId="66051B4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2.乙方为完成本合同项下工作所产生的全部成果、资料的知识产权及所有权均归甲方所有。</w:t>
      </w:r>
    </w:p>
    <w:p w14:paraId="2DBB8F4C">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十一、合同的变更和终止</w:t>
      </w:r>
    </w:p>
    <w:p w14:paraId="0E6DB14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1.本合同履行中，甲方需追加与合同标的相同的货物、服务、工程的，在不改变合同其他条款的前提下，可以与乙方协商签订补充合同，但所有补充合同的采购金额不得超过原合同采购金额的百分之十。</w:t>
      </w:r>
    </w:p>
    <w:p w14:paraId="12C1F26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2.合同继续履行将损害国家利益和社会公共利益的，双方当事人应当变更、中止或者终止合同。有过错的一方应当承担赔偿责任，双方都有过错的，各自承担相应的责任。</w:t>
      </w:r>
    </w:p>
    <w:p w14:paraId="1E278BC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3.除以上两条规定的情形以及本合同其他条款另有约定外，本合同一经签订，甲乙双方不得擅自变更、中止或终止合同。</w:t>
      </w:r>
    </w:p>
    <w:p w14:paraId="7122F293">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十二、合同的分包和转让</w:t>
      </w:r>
    </w:p>
    <w:p w14:paraId="28BF161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1.乙方不得部分或全部转让其应履行的合同义务；</w:t>
      </w:r>
    </w:p>
    <w:p w14:paraId="3A8C8DD1">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十三、解决争议的方法</w:t>
      </w:r>
    </w:p>
    <w:p w14:paraId="6673719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1.因质量问题发生争议，由乙方和甲方协商确定的第三方机构进行质量鉴定。质量符合标准的，鉴定费由甲方承担；不符合质量标准的，鉴定费由乙方承担。</w:t>
      </w:r>
    </w:p>
    <w:p w14:paraId="248DD9F5">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履约期间，若双方发生争议，双方应通过友好协商解决，经协商不能达成协议时，应向甲方所在地人民法院提起诉讼。除判决另有规定外，一切涉诉产生的合理费用（包括但不限于诉讼费、鉴定费、保全费、律师费等）均由违约方承担。</w:t>
      </w:r>
    </w:p>
    <w:p w14:paraId="630309B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3.在诉讼期间，除正在进行诉讼的部分外，合同其他部分继续执行。</w:t>
      </w:r>
    </w:p>
    <w:p w14:paraId="7AFDB1A1">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十四、违约责任</w:t>
      </w:r>
    </w:p>
    <w:p w14:paraId="7579A0F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（一）甲方违约责任</w:t>
      </w:r>
    </w:p>
    <w:p w14:paraId="5C5E4D7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1.甲方无正当理由拒收货物的，甲方应偿付合同总金额的百分之二十的违约金。</w:t>
      </w:r>
    </w:p>
    <w:p w14:paraId="7422E79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2.甲方故意逾期支付货款的，除应及时付足货款外，应向乙方偿付欠款总额万分之一/天的违约金。逾期付款超过20日历天的，乙方有权终止合同。</w:t>
      </w:r>
    </w:p>
    <w:p w14:paraId="3398AE7E">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甲方故意逾期付款的，甲方不承担任何逾期付款责任，乙方也不得终止合同(说明：如因2024年终财政关闭支付系统导致甲方在合同履行期间无法支付，则甲方不承担逾期支付责任，待2025年财政支付系统开通后立即支付)。</w:t>
      </w:r>
    </w:p>
    <w:p w14:paraId="695A23BC">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（二）乙方违约责任</w:t>
      </w:r>
    </w:p>
    <w:p w14:paraId="2D3FB3C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1.如因乙方工作人员在履行职务过程中给甲方造成损失或侵害,包括但不限于甲方本身的财产损失、由此而导致的甲方对任何第三方的法律责任等，乙方对此均应承担全部的赔偿责任。</w:t>
      </w:r>
    </w:p>
    <w:p w14:paraId="3C6BB03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未按照本合同约定工期交付项目的，每逾期一日，按照合同总价款的千分之一向甲方支付逾期履行违约金；逾期超过30日，甲方有权解除合同并拒绝再接受相关服务，同时，乙方应退还甲方已支付的全部费用。因逾期产生的用工费用、材料费用等增加的，由乙方自行承担。</w:t>
      </w:r>
    </w:p>
    <w:p w14:paraId="77066E36">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履行合同不符合本合同约定的质量标准，乙方应在接到甲方整改通知之日起5个日历天内采取修理、重做、更换及其他补救措施。任何一项工程经甲方通知整改2次不能达到约定的质量标准的，甲方有权解除合同并拒绝接受服务，同时，乙方应按合同总价款的5%向甲方支付违约金且退还甲方已经支付的全部费用。违约金不足以弥补损失的，乙方应按甲方的全部损失进行赔偿。</w:t>
      </w:r>
    </w:p>
    <w:p w14:paraId="64CE46E8">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乙方交付的项目存在权利瑕疵或侵犯第三方合法权益的（包括但不限于著作权、专利权等知识产权以及所有权），责任由乙方全部承担，甲方由此遭受的全部损失（包括但不限于诉讼费、鉴定费、保全费、律师费以及甲方向第三方赔偿的费用等）由乙方赔偿，损失计算有困难的，则向甲方支付固定赔偿金3万元；若甲方因乙方侵权行为导致无法继续享有或使用相关建设成果的，乙方还应退还甲方已支付的全部费用。</w:t>
      </w:r>
    </w:p>
    <w:p w14:paraId="18D8B7F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若乙方未按约定提供售后服务或拒绝提供售后服务的，甲方有权委托第三方提供，费用由乙方承担。售后服务期内售后服务合格率（合格的售后服务次数/售后服务总次数）低于百分之八十视为售后服务不合格，甲方不予返还乙方履约保证金，乙方还应按本合同总金额的百分之二十向甲方支付违约金。</w:t>
      </w:r>
    </w:p>
    <w:p w14:paraId="324CEB05">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十五、不可抗力事件处理</w:t>
      </w:r>
    </w:p>
    <w:p w14:paraId="7559680B">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14:paraId="157E6B1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6136DAB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3、不可抗力事件延续30天以上，双方应通过友好协商，确定是否继续履行合同。</w:t>
      </w:r>
    </w:p>
    <w:p w14:paraId="49D387FB">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十六、组成本合同的有关文件 </w:t>
      </w:r>
    </w:p>
    <w:p w14:paraId="39B3657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关于成都市技师学院郫都西校区工匠文化教育博览园铁道文化建设项目(项目编号：XXXX)的采购文件、乙方的响应文件或与本次采购活动方式相适应的文件及有关附件是本合同不可分割的组成部分，与本合同具有同等法律效力，这些文件包括但不限于：</w:t>
      </w:r>
    </w:p>
    <w:p w14:paraId="59C2486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1.甲方的采购文件；</w:t>
      </w:r>
    </w:p>
    <w:p w14:paraId="4505BDD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2.乙方的响应文件；</w:t>
      </w:r>
    </w:p>
    <w:p w14:paraId="0A35BB41">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成交通知书</w:t>
      </w:r>
      <w:r>
        <w:rPr>
          <w:rFonts w:hint="eastAsia" w:ascii="仿宋" w:hAnsi="仿宋" w:eastAsia="仿宋" w:cs="仿宋"/>
          <w:color w:val="auto"/>
          <w:sz w:val="24"/>
          <w:szCs w:val="24"/>
          <w:highlight w:val="none"/>
        </w:rPr>
        <w:t>；</w:t>
      </w:r>
    </w:p>
    <w:p w14:paraId="378A62BB">
      <w:pPr>
        <w:tabs>
          <w:tab w:val="left" w:pos="0"/>
        </w:tabs>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十七、其他</w:t>
      </w:r>
    </w:p>
    <w:p w14:paraId="36B4A633">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1.本合同自乙方缴纳履约保证金后，且合同经双方法定代表人或授权委托代理人签字并加盖单位公章（或合同专用章）后生效。</w:t>
      </w:r>
    </w:p>
    <w:p w14:paraId="2705D0B2">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2.如有未尽事宜，由双方协商并依法订立补充合同。</w:t>
      </w:r>
    </w:p>
    <w:p w14:paraId="389EF070">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3.本合同一式4份，甲方2份，乙方2份，均具有同等法律效力。</w:t>
      </w:r>
    </w:p>
    <w:p w14:paraId="728518DA">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4.如本合同与甲方的采购文件、乙方的响应文件不一致时，以甲方的采购文件、乙方的响应文件为准。</w:t>
      </w:r>
    </w:p>
    <w:p w14:paraId="0822164D">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5.本合同应按照中华人民共和国的现行法律进行解释。</w:t>
      </w:r>
    </w:p>
    <w:p w14:paraId="028D4EBE">
      <w:pPr>
        <w:tabs>
          <w:tab w:val="left" w:pos="0"/>
        </w:tabs>
        <w:adjustRightInd w:val="0"/>
        <w:snapToGrid w:val="0"/>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(以下无正文)</w:t>
      </w:r>
    </w:p>
    <w:p w14:paraId="0BD7975C">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（盖章）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乙方：   （盖章）</w:t>
      </w:r>
    </w:p>
    <w:p w14:paraId="3DE23542">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法定代表人（授权代表）：   法定代表人（授权代表）：</w:t>
      </w:r>
    </w:p>
    <w:p w14:paraId="1B9AA91F">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                 地    址：</w:t>
      </w:r>
    </w:p>
    <w:p w14:paraId="1C333641">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080013E1">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                 账    号：</w:t>
      </w:r>
    </w:p>
    <w:p w14:paraId="46AA0028">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                 电    话：</w:t>
      </w:r>
    </w:p>
    <w:p w14:paraId="0AA44FE3">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传    真：</w:t>
      </w:r>
    </w:p>
    <w:p w14:paraId="00A22EF6">
      <w:pPr>
        <w:tabs>
          <w:tab w:val="left" w:pos="0"/>
        </w:tabs>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箱：                 邮    箱：</w:t>
      </w:r>
    </w:p>
    <w:p w14:paraId="6AB462C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签约日期：XX年XX月XX日  签约日期：XX年XX月XX日</w:t>
      </w:r>
    </w:p>
    <w:p w14:paraId="0AE8A3CD">
      <w:pPr>
        <w:spacing w:line="360" w:lineRule="auto"/>
        <w:rPr>
          <w:rFonts w:hint="eastAsia" w:ascii="仿宋" w:hAnsi="仿宋" w:eastAsia="仿宋" w:cs="仿宋"/>
          <w:color w:val="auto"/>
          <w:sz w:val="24"/>
          <w:szCs w:val="24"/>
          <w:highlight w:val="none"/>
        </w:rPr>
      </w:pPr>
    </w:p>
    <w:p w14:paraId="243EA796">
      <w:pPr>
        <w:keepNext w:val="0"/>
        <w:keepLines w:val="0"/>
        <w:pageBreakBefore w:val="0"/>
        <w:widowControl w:val="0"/>
        <w:kinsoku/>
        <w:wordWrap/>
        <w:overflowPunct/>
        <w:topLinePunct w:val="0"/>
        <w:autoSpaceDE/>
        <w:autoSpaceDN/>
        <w:bidi w:val="0"/>
        <w:snapToGrid w:val="0"/>
        <w:spacing w:line="276" w:lineRule="auto"/>
        <w:outlineLvl w:val="9"/>
        <w:rPr>
          <w:rFonts w:ascii="仿宋" w:hAnsi="仿宋" w:eastAsia="仿宋" w:cstheme="minorEastAsia"/>
          <w:b/>
          <w:sz w:val="24"/>
          <w:highlight w:val="none"/>
        </w:rPr>
      </w:pPr>
    </w:p>
    <w:sectPr>
      <w:footerReference r:id="rId8" w:type="default"/>
      <w:pgSz w:w="11906" w:h="16838"/>
      <w:pgMar w:top="1440" w:right="1474" w:bottom="1440" w:left="1474" w:header="851" w:footer="992" w:gutter="0"/>
      <w:pgNumType w:fmt="decimal" w:start="2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21AA">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C21F">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0D053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7A0D053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AA13">
    <w:pPr>
      <w:pStyle w:val="16"/>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394B0E">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G9wcoBAACd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5xE24ocdzixC8/vl9+/r78+kaW&#10;1eomS9QHqDHzPmBuGt76AdNnP6AzMx9UtPmLnAjGUeDzVWA5JCLyo/Vqva4wJDA2XxCfPTwPEdI7&#10;6S3JRkMjTrAIy08fII2pc0qu5vydNqZM0bi/HIiZPSz3PvaYrTTsh4nQ3rdn5NPj8BvqcNcpMe8d&#10;apv3ZDbibOxn4xiiPnRlkXI9CG+OCZsoveUKI+xUGKdW2E0bltfi8b1kPfxV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BgG9wcoBAACdAwAADgAAAAAAAAABACAAAAAeAQAAZHJzL2Uyb0Rv&#10;Yy54bWxQSwUGAAAAAAYABgBZAQAAWgUAAAAA&#10;">
              <v:fill on="f" focussize="0,0"/>
              <v:stroke on="f"/>
              <v:imagedata o:title=""/>
              <o:lock v:ext="edit" aspectratio="f"/>
              <v:textbox inset="0mm,0mm,0mm,0mm" style="mso-fit-shape-to-text:t;">
                <w:txbxContent>
                  <w:p w14:paraId="06394B0E">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FD60D">
    <w:pPr>
      <w:pStyle w:val="17"/>
      <w:pBdr>
        <w:bottom w:val="thinThickSmallGap" w:color="auto" w:sz="12" w:space="1"/>
      </w:pBdr>
      <w:spacing w:line="240" w:lineRule="auto"/>
      <w:jc w:val="left"/>
    </w:pPr>
    <w:r>
      <w:rPr>
        <w:rFonts w:hint="eastAsia"/>
      </w:rPr>
      <w:drawing>
        <wp:inline distT="0" distB="0" distL="114300" distR="114300">
          <wp:extent cx="1010920" cy="315595"/>
          <wp:effectExtent l="0" t="0" r="17780" b="8255"/>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1"/>
                  <a:stretch>
                    <a:fillRect/>
                  </a:stretch>
                </pic:blipFill>
                <pic:spPr>
                  <a:xfrm>
                    <a:off x="0" y="0"/>
                    <a:ext cx="1010920" cy="31559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ascii="黑体" w:hAnsi="黑体" w:eastAsia="黑体" w:cs="黑体"/>
        <w:i/>
        <w:iCs/>
        <w:sz w:val="21"/>
        <w:szCs w:val="21"/>
        <w:vertAlign w:val="baseline"/>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63F3">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ABE43">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abstractNum w:abstractNumId="1">
    <w:nsid w:val="F1D7DB1E"/>
    <w:multiLevelType w:val="singleLevel"/>
    <w:tmpl w:val="F1D7DB1E"/>
    <w:lvl w:ilvl="0" w:tentative="0">
      <w:start w:val="4"/>
      <w:numFmt w:val="chineseCounting"/>
      <w:suff w:val="nothing"/>
      <w:lvlText w:val="%1、"/>
      <w:lvlJc w:val="left"/>
      <w:rPr>
        <w:rFonts w:hint="eastAsia"/>
      </w:rPr>
    </w:lvl>
  </w:abstractNum>
  <w:abstractNum w:abstractNumId="2">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2B4882D"/>
    <w:multiLevelType w:val="singleLevel"/>
    <w:tmpl w:val="72B4882D"/>
    <w:lvl w:ilvl="0" w:tentative="0">
      <w:start w:val="1"/>
      <w:numFmt w:val="decimal"/>
      <w:lvlText w:val="%1."/>
      <w:lvlJc w:val="left"/>
      <w:pPr>
        <w:tabs>
          <w:tab w:val="left" w:pos="312"/>
        </w:tabs>
      </w:pPr>
    </w:lvl>
  </w:abstractNum>
  <w:abstractNum w:abstractNumId="6">
    <w:nsid w:val="78B4565F"/>
    <w:multiLevelType w:val="singleLevel"/>
    <w:tmpl w:val="78B4565F"/>
    <w:lvl w:ilvl="0" w:tentative="0">
      <w:start w:val="1"/>
      <w:numFmt w:val="decimal"/>
      <w:suff w:val="nothing"/>
      <w:lvlText w:val="%1、"/>
      <w:lvlJc w:val="left"/>
    </w:lvl>
  </w:abstractNum>
  <w:abstractNum w:abstractNumId="7">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2"/>
  </w:num>
  <w:num w:numId="2">
    <w:abstractNumId w:val="3"/>
  </w:num>
  <w:num w:numId="3">
    <w:abstractNumId w:val="7"/>
  </w:num>
  <w:num w:numId="4">
    <w:abstractNumId w:val="4"/>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WIwMDQ0MGVhN2E5OTNkNGQ5MWU3YjE2ZjMwNzYifQ=="/>
  </w:docVars>
  <w:rsids>
    <w:rsidRoot w:val="00395B82"/>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627"/>
    <w:rsid w:val="00144B6A"/>
    <w:rsid w:val="0014559B"/>
    <w:rsid w:val="00145D0C"/>
    <w:rsid w:val="001466CF"/>
    <w:rsid w:val="00146D53"/>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604E"/>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66D3"/>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E21B7"/>
    <w:rsid w:val="004E2457"/>
    <w:rsid w:val="004E2CFF"/>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63AA"/>
    <w:rsid w:val="00F66B5F"/>
    <w:rsid w:val="00F671A6"/>
    <w:rsid w:val="00F67849"/>
    <w:rsid w:val="00F7031C"/>
    <w:rsid w:val="00F705B6"/>
    <w:rsid w:val="00F7108D"/>
    <w:rsid w:val="00F728C8"/>
    <w:rsid w:val="00F759EB"/>
    <w:rsid w:val="00F75A45"/>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B55D6"/>
    <w:rsid w:val="015B2C57"/>
    <w:rsid w:val="016B01A8"/>
    <w:rsid w:val="017E07F8"/>
    <w:rsid w:val="01BC2613"/>
    <w:rsid w:val="01D46D90"/>
    <w:rsid w:val="01F35CB1"/>
    <w:rsid w:val="02073C59"/>
    <w:rsid w:val="020B1096"/>
    <w:rsid w:val="022F241A"/>
    <w:rsid w:val="023B284A"/>
    <w:rsid w:val="02771BC5"/>
    <w:rsid w:val="033C5E12"/>
    <w:rsid w:val="03990CC3"/>
    <w:rsid w:val="03ED490F"/>
    <w:rsid w:val="040E28DA"/>
    <w:rsid w:val="044C330C"/>
    <w:rsid w:val="04856E56"/>
    <w:rsid w:val="04AA6F07"/>
    <w:rsid w:val="04AD08B3"/>
    <w:rsid w:val="04F1634C"/>
    <w:rsid w:val="05126F72"/>
    <w:rsid w:val="051C4C9B"/>
    <w:rsid w:val="052529F9"/>
    <w:rsid w:val="05433385"/>
    <w:rsid w:val="05455F3C"/>
    <w:rsid w:val="055A0642"/>
    <w:rsid w:val="056F52F8"/>
    <w:rsid w:val="05994D1D"/>
    <w:rsid w:val="05AE248D"/>
    <w:rsid w:val="061E1DA5"/>
    <w:rsid w:val="06294112"/>
    <w:rsid w:val="065F69FD"/>
    <w:rsid w:val="06864F48"/>
    <w:rsid w:val="06B01FE1"/>
    <w:rsid w:val="06BF2D2B"/>
    <w:rsid w:val="06DE4794"/>
    <w:rsid w:val="070B7889"/>
    <w:rsid w:val="071F39D1"/>
    <w:rsid w:val="0781491C"/>
    <w:rsid w:val="07844CE3"/>
    <w:rsid w:val="07C80C86"/>
    <w:rsid w:val="07D01AF4"/>
    <w:rsid w:val="08321450"/>
    <w:rsid w:val="0837292D"/>
    <w:rsid w:val="088E2476"/>
    <w:rsid w:val="08FA66E5"/>
    <w:rsid w:val="092469D9"/>
    <w:rsid w:val="093457C4"/>
    <w:rsid w:val="093C6689"/>
    <w:rsid w:val="09797B4A"/>
    <w:rsid w:val="0993367A"/>
    <w:rsid w:val="099B6BF2"/>
    <w:rsid w:val="09B33EE8"/>
    <w:rsid w:val="09C123E4"/>
    <w:rsid w:val="09C5610F"/>
    <w:rsid w:val="0A24037A"/>
    <w:rsid w:val="0A280D2A"/>
    <w:rsid w:val="0A546980"/>
    <w:rsid w:val="0A5D2056"/>
    <w:rsid w:val="0A6D7B38"/>
    <w:rsid w:val="0A856E1B"/>
    <w:rsid w:val="0ACE00BD"/>
    <w:rsid w:val="0B054C7F"/>
    <w:rsid w:val="0B1374AF"/>
    <w:rsid w:val="0B7D1FFD"/>
    <w:rsid w:val="0B956CD5"/>
    <w:rsid w:val="0C3314B9"/>
    <w:rsid w:val="0C45614F"/>
    <w:rsid w:val="0C57666A"/>
    <w:rsid w:val="0C6347F6"/>
    <w:rsid w:val="0C7824B8"/>
    <w:rsid w:val="0C8E0ACE"/>
    <w:rsid w:val="0CC62DDC"/>
    <w:rsid w:val="0CE70D13"/>
    <w:rsid w:val="0D077B90"/>
    <w:rsid w:val="0D176BD3"/>
    <w:rsid w:val="0D7E3655"/>
    <w:rsid w:val="0DAB54D2"/>
    <w:rsid w:val="0DE47A12"/>
    <w:rsid w:val="0DEF3864"/>
    <w:rsid w:val="0E1506AF"/>
    <w:rsid w:val="0E25778C"/>
    <w:rsid w:val="0E2D0311"/>
    <w:rsid w:val="0E2F2949"/>
    <w:rsid w:val="0E8A1C33"/>
    <w:rsid w:val="0EA278FC"/>
    <w:rsid w:val="0ED85ED4"/>
    <w:rsid w:val="0F112201"/>
    <w:rsid w:val="0F1B185D"/>
    <w:rsid w:val="0F645378"/>
    <w:rsid w:val="0F6B266C"/>
    <w:rsid w:val="0F7D25CB"/>
    <w:rsid w:val="0FBF78C5"/>
    <w:rsid w:val="0FFE331C"/>
    <w:rsid w:val="103B4386"/>
    <w:rsid w:val="104D0939"/>
    <w:rsid w:val="10B169D0"/>
    <w:rsid w:val="10FF2155"/>
    <w:rsid w:val="110B69CC"/>
    <w:rsid w:val="11190D4B"/>
    <w:rsid w:val="113E67EC"/>
    <w:rsid w:val="117274F9"/>
    <w:rsid w:val="11B56B86"/>
    <w:rsid w:val="121F7406"/>
    <w:rsid w:val="12307CB5"/>
    <w:rsid w:val="124964D6"/>
    <w:rsid w:val="12AB1745"/>
    <w:rsid w:val="12B1669B"/>
    <w:rsid w:val="12CF61D1"/>
    <w:rsid w:val="12EE6E5C"/>
    <w:rsid w:val="13714D3B"/>
    <w:rsid w:val="13F9740C"/>
    <w:rsid w:val="141A3B1B"/>
    <w:rsid w:val="14252BD9"/>
    <w:rsid w:val="14A44727"/>
    <w:rsid w:val="14E37568"/>
    <w:rsid w:val="152B784D"/>
    <w:rsid w:val="15582E1A"/>
    <w:rsid w:val="15841000"/>
    <w:rsid w:val="159F73A2"/>
    <w:rsid w:val="15F5775F"/>
    <w:rsid w:val="16205D42"/>
    <w:rsid w:val="162C6E4A"/>
    <w:rsid w:val="164C442B"/>
    <w:rsid w:val="166E6E00"/>
    <w:rsid w:val="16891902"/>
    <w:rsid w:val="16E94766"/>
    <w:rsid w:val="17152876"/>
    <w:rsid w:val="17176746"/>
    <w:rsid w:val="1727713B"/>
    <w:rsid w:val="17433126"/>
    <w:rsid w:val="176C7D14"/>
    <w:rsid w:val="17AD3EEE"/>
    <w:rsid w:val="17B67EA8"/>
    <w:rsid w:val="17D8096C"/>
    <w:rsid w:val="17EB2E40"/>
    <w:rsid w:val="183F05F6"/>
    <w:rsid w:val="184F0E93"/>
    <w:rsid w:val="18C8152D"/>
    <w:rsid w:val="18E6354E"/>
    <w:rsid w:val="190E3260"/>
    <w:rsid w:val="19284707"/>
    <w:rsid w:val="192A720D"/>
    <w:rsid w:val="193373AB"/>
    <w:rsid w:val="198429A7"/>
    <w:rsid w:val="198D1607"/>
    <w:rsid w:val="19B6511C"/>
    <w:rsid w:val="19CF73D7"/>
    <w:rsid w:val="19D56279"/>
    <w:rsid w:val="1A3D5485"/>
    <w:rsid w:val="1A8B64E4"/>
    <w:rsid w:val="1AEB0DEC"/>
    <w:rsid w:val="1AEF732A"/>
    <w:rsid w:val="1B0E56AB"/>
    <w:rsid w:val="1B4775BC"/>
    <w:rsid w:val="1B754A9E"/>
    <w:rsid w:val="1BAA749B"/>
    <w:rsid w:val="1BB87F27"/>
    <w:rsid w:val="1BF82737"/>
    <w:rsid w:val="1C343166"/>
    <w:rsid w:val="1CBE0618"/>
    <w:rsid w:val="1CCC152C"/>
    <w:rsid w:val="1D152228"/>
    <w:rsid w:val="1D1525AD"/>
    <w:rsid w:val="1D3468F9"/>
    <w:rsid w:val="1D3F5EC3"/>
    <w:rsid w:val="1D84404A"/>
    <w:rsid w:val="1D885341"/>
    <w:rsid w:val="1D9C27FA"/>
    <w:rsid w:val="1DB92697"/>
    <w:rsid w:val="1DEC43A7"/>
    <w:rsid w:val="1E0C0536"/>
    <w:rsid w:val="1E891CC8"/>
    <w:rsid w:val="1EA4651E"/>
    <w:rsid w:val="1EE04A60"/>
    <w:rsid w:val="1EEB4DB9"/>
    <w:rsid w:val="1F2F4E2E"/>
    <w:rsid w:val="1F9A4C4E"/>
    <w:rsid w:val="1FB71960"/>
    <w:rsid w:val="200D24A0"/>
    <w:rsid w:val="20124E4F"/>
    <w:rsid w:val="20353900"/>
    <w:rsid w:val="20603D1D"/>
    <w:rsid w:val="2081209E"/>
    <w:rsid w:val="20BA4C9B"/>
    <w:rsid w:val="210E7645"/>
    <w:rsid w:val="211C10EA"/>
    <w:rsid w:val="216E446A"/>
    <w:rsid w:val="2194754D"/>
    <w:rsid w:val="21B305E9"/>
    <w:rsid w:val="21CD153B"/>
    <w:rsid w:val="21EF2EC2"/>
    <w:rsid w:val="21F958C4"/>
    <w:rsid w:val="22467D55"/>
    <w:rsid w:val="225B35F0"/>
    <w:rsid w:val="2274640C"/>
    <w:rsid w:val="22834BB4"/>
    <w:rsid w:val="22887E8E"/>
    <w:rsid w:val="23BD53C4"/>
    <w:rsid w:val="23D15638"/>
    <w:rsid w:val="240D3977"/>
    <w:rsid w:val="2444305E"/>
    <w:rsid w:val="24D5203C"/>
    <w:rsid w:val="253C3DEB"/>
    <w:rsid w:val="25405633"/>
    <w:rsid w:val="25432160"/>
    <w:rsid w:val="25481C77"/>
    <w:rsid w:val="25530685"/>
    <w:rsid w:val="25D05F02"/>
    <w:rsid w:val="25DE1BBE"/>
    <w:rsid w:val="25F952EB"/>
    <w:rsid w:val="25FC0F89"/>
    <w:rsid w:val="261D3EDE"/>
    <w:rsid w:val="26986BAD"/>
    <w:rsid w:val="26DD542A"/>
    <w:rsid w:val="27280C17"/>
    <w:rsid w:val="278438E5"/>
    <w:rsid w:val="278B79C4"/>
    <w:rsid w:val="27D14AE5"/>
    <w:rsid w:val="27DB66BC"/>
    <w:rsid w:val="27E41871"/>
    <w:rsid w:val="27ED32F5"/>
    <w:rsid w:val="27F0205F"/>
    <w:rsid w:val="285E121D"/>
    <w:rsid w:val="287F74B0"/>
    <w:rsid w:val="28956121"/>
    <w:rsid w:val="28B2096C"/>
    <w:rsid w:val="28C60604"/>
    <w:rsid w:val="28F94733"/>
    <w:rsid w:val="29005718"/>
    <w:rsid w:val="291546BC"/>
    <w:rsid w:val="29191F98"/>
    <w:rsid w:val="29407037"/>
    <w:rsid w:val="29B83460"/>
    <w:rsid w:val="29F17703"/>
    <w:rsid w:val="2AD66060"/>
    <w:rsid w:val="2B8A10B4"/>
    <w:rsid w:val="2BA2543C"/>
    <w:rsid w:val="2BB87CD4"/>
    <w:rsid w:val="2C2B5AF6"/>
    <w:rsid w:val="2C3907B8"/>
    <w:rsid w:val="2C41250C"/>
    <w:rsid w:val="2C4464F3"/>
    <w:rsid w:val="2C7540D2"/>
    <w:rsid w:val="2CC10D69"/>
    <w:rsid w:val="2CE865A1"/>
    <w:rsid w:val="2D181465"/>
    <w:rsid w:val="2D2C0381"/>
    <w:rsid w:val="2D3C3CB8"/>
    <w:rsid w:val="2D3F42FB"/>
    <w:rsid w:val="2D4D63C8"/>
    <w:rsid w:val="2D52499B"/>
    <w:rsid w:val="2E3520F1"/>
    <w:rsid w:val="2E644C15"/>
    <w:rsid w:val="2E873FB5"/>
    <w:rsid w:val="2E9426DC"/>
    <w:rsid w:val="2E9F5CC2"/>
    <w:rsid w:val="2F0E4307"/>
    <w:rsid w:val="2F0E61C2"/>
    <w:rsid w:val="2F4C289A"/>
    <w:rsid w:val="2F725125"/>
    <w:rsid w:val="2FF24F4A"/>
    <w:rsid w:val="30161391"/>
    <w:rsid w:val="301D319A"/>
    <w:rsid w:val="302A46A0"/>
    <w:rsid w:val="304F78CF"/>
    <w:rsid w:val="30904617"/>
    <w:rsid w:val="30BF1B1A"/>
    <w:rsid w:val="30E20BDE"/>
    <w:rsid w:val="30F27031"/>
    <w:rsid w:val="31283909"/>
    <w:rsid w:val="3196002D"/>
    <w:rsid w:val="31E80F9A"/>
    <w:rsid w:val="31F7462E"/>
    <w:rsid w:val="320A5AE9"/>
    <w:rsid w:val="32252940"/>
    <w:rsid w:val="326D6A95"/>
    <w:rsid w:val="326F02FF"/>
    <w:rsid w:val="32B41BE4"/>
    <w:rsid w:val="32BB4740"/>
    <w:rsid w:val="32C268F0"/>
    <w:rsid w:val="32DD144F"/>
    <w:rsid w:val="33226D96"/>
    <w:rsid w:val="335A2FC4"/>
    <w:rsid w:val="33C93873"/>
    <w:rsid w:val="33CF7B09"/>
    <w:rsid w:val="33FB7DDF"/>
    <w:rsid w:val="3441516C"/>
    <w:rsid w:val="34D0627F"/>
    <w:rsid w:val="34EE661A"/>
    <w:rsid w:val="353F0166"/>
    <w:rsid w:val="35F63C9D"/>
    <w:rsid w:val="35FB0666"/>
    <w:rsid w:val="36044087"/>
    <w:rsid w:val="361A3880"/>
    <w:rsid w:val="365470A9"/>
    <w:rsid w:val="36694ED2"/>
    <w:rsid w:val="36916162"/>
    <w:rsid w:val="371C222C"/>
    <w:rsid w:val="377816D4"/>
    <w:rsid w:val="377B1B91"/>
    <w:rsid w:val="37C14D94"/>
    <w:rsid w:val="37C578F6"/>
    <w:rsid w:val="385C2D63"/>
    <w:rsid w:val="388859B9"/>
    <w:rsid w:val="3892560A"/>
    <w:rsid w:val="38F20631"/>
    <w:rsid w:val="39217789"/>
    <w:rsid w:val="398C4546"/>
    <w:rsid w:val="399F6A19"/>
    <w:rsid w:val="39E90B25"/>
    <w:rsid w:val="3A2332C9"/>
    <w:rsid w:val="3A27545B"/>
    <w:rsid w:val="3A3926A8"/>
    <w:rsid w:val="3A605F71"/>
    <w:rsid w:val="3AB70A36"/>
    <w:rsid w:val="3ADA31BB"/>
    <w:rsid w:val="3AE91299"/>
    <w:rsid w:val="3AE94513"/>
    <w:rsid w:val="3AEC5EAE"/>
    <w:rsid w:val="3B9932A6"/>
    <w:rsid w:val="3BA7084C"/>
    <w:rsid w:val="3C10756E"/>
    <w:rsid w:val="3C2224A6"/>
    <w:rsid w:val="3C70450B"/>
    <w:rsid w:val="3C9138AE"/>
    <w:rsid w:val="3CB43D00"/>
    <w:rsid w:val="3CCB3B02"/>
    <w:rsid w:val="3CF34385"/>
    <w:rsid w:val="3D12080C"/>
    <w:rsid w:val="3D1C07F3"/>
    <w:rsid w:val="3D394692"/>
    <w:rsid w:val="3DA95162"/>
    <w:rsid w:val="3DD735D8"/>
    <w:rsid w:val="3DE96EFA"/>
    <w:rsid w:val="3DF41E25"/>
    <w:rsid w:val="3E2718F4"/>
    <w:rsid w:val="3E345C13"/>
    <w:rsid w:val="3E751CB1"/>
    <w:rsid w:val="3EAF5926"/>
    <w:rsid w:val="3F4A0D63"/>
    <w:rsid w:val="3F795781"/>
    <w:rsid w:val="3FDF42F8"/>
    <w:rsid w:val="3FFC1207"/>
    <w:rsid w:val="408D49D2"/>
    <w:rsid w:val="40BE0934"/>
    <w:rsid w:val="40DE02EA"/>
    <w:rsid w:val="40DE0554"/>
    <w:rsid w:val="40E07056"/>
    <w:rsid w:val="41166258"/>
    <w:rsid w:val="412C4B51"/>
    <w:rsid w:val="415B3478"/>
    <w:rsid w:val="41820542"/>
    <w:rsid w:val="419832E5"/>
    <w:rsid w:val="41AF46A4"/>
    <w:rsid w:val="4208360A"/>
    <w:rsid w:val="420A4E2D"/>
    <w:rsid w:val="421953E3"/>
    <w:rsid w:val="42593187"/>
    <w:rsid w:val="429D290A"/>
    <w:rsid w:val="42A4480D"/>
    <w:rsid w:val="42C35F92"/>
    <w:rsid w:val="430D71E7"/>
    <w:rsid w:val="432A7AFE"/>
    <w:rsid w:val="433410DF"/>
    <w:rsid w:val="43357C89"/>
    <w:rsid w:val="437A1721"/>
    <w:rsid w:val="43C93ED3"/>
    <w:rsid w:val="440B5E1C"/>
    <w:rsid w:val="44226E46"/>
    <w:rsid w:val="446B1A9A"/>
    <w:rsid w:val="450F49C7"/>
    <w:rsid w:val="451172DF"/>
    <w:rsid w:val="454974F5"/>
    <w:rsid w:val="45897A53"/>
    <w:rsid w:val="458A67C1"/>
    <w:rsid w:val="45B87CF9"/>
    <w:rsid w:val="46181EAA"/>
    <w:rsid w:val="461C7432"/>
    <w:rsid w:val="464D4281"/>
    <w:rsid w:val="4665005D"/>
    <w:rsid w:val="46BD0BC9"/>
    <w:rsid w:val="46FE1EDD"/>
    <w:rsid w:val="470A0F8D"/>
    <w:rsid w:val="47130CF1"/>
    <w:rsid w:val="472F3F39"/>
    <w:rsid w:val="47462BD6"/>
    <w:rsid w:val="47582944"/>
    <w:rsid w:val="476A2E5A"/>
    <w:rsid w:val="476C6EF4"/>
    <w:rsid w:val="479F5F50"/>
    <w:rsid w:val="47BA5452"/>
    <w:rsid w:val="47DF58F3"/>
    <w:rsid w:val="47FB4C38"/>
    <w:rsid w:val="485854A2"/>
    <w:rsid w:val="48BE7E6E"/>
    <w:rsid w:val="48F6071D"/>
    <w:rsid w:val="490B427D"/>
    <w:rsid w:val="491A2D44"/>
    <w:rsid w:val="49677A99"/>
    <w:rsid w:val="497E6ED0"/>
    <w:rsid w:val="49A11CDE"/>
    <w:rsid w:val="49D21196"/>
    <w:rsid w:val="4A08190C"/>
    <w:rsid w:val="4A1025FB"/>
    <w:rsid w:val="4AA42EEA"/>
    <w:rsid w:val="4B0E6733"/>
    <w:rsid w:val="4B2A0905"/>
    <w:rsid w:val="4B535C2B"/>
    <w:rsid w:val="4B6B3F67"/>
    <w:rsid w:val="4B826706"/>
    <w:rsid w:val="4B9C14D6"/>
    <w:rsid w:val="4BAC6642"/>
    <w:rsid w:val="4BB17F09"/>
    <w:rsid w:val="4BE0566A"/>
    <w:rsid w:val="4C292726"/>
    <w:rsid w:val="4C3535E2"/>
    <w:rsid w:val="4C490B3D"/>
    <w:rsid w:val="4C9A598E"/>
    <w:rsid w:val="4CAB48D9"/>
    <w:rsid w:val="4CAC228D"/>
    <w:rsid w:val="4CB0723E"/>
    <w:rsid w:val="4D0F09AF"/>
    <w:rsid w:val="4D274B35"/>
    <w:rsid w:val="4D3E7F02"/>
    <w:rsid w:val="4D4E4A8B"/>
    <w:rsid w:val="4D7D5483"/>
    <w:rsid w:val="4D89777B"/>
    <w:rsid w:val="4DA83402"/>
    <w:rsid w:val="4DC04498"/>
    <w:rsid w:val="4DC40BA7"/>
    <w:rsid w:val="4DCA2901"/>
    <w:rsid w:val="4DCC54F6"/>
    <w:rsid w:val="4DF571F5"/>
    <w:rsid w:val="4EA82639"/>
    <w:rsid w:val="4EB71EA5"/>
    <w:rsid w:val="4EC628B4"/>
    <w:rsid w:val="4EC9027F"/>
    <w:rsid w:val="4ECB5A71"/>
    <w:rsid w:val="4EE42C67"/>
    <w:rsid w:val="4EE9193F"/>
    <w:rsid w:val="4F0352C5"/>
    <w:rsid w:val="4F0849D8"/>
    <w:rsid w:val="4F0C1FC1"/>
    <w:rsid w:val="4F74239C"/>
    <w:rsid w:val="4F7A6469"/>
    <w:rsid w:val="4F98106E"/>
    <w:rsid w:val="4FA21F75"/>
    <w:rsid w:val="50130B14"/>
    <w:rsid w:val="505229B1"/>
    <w:rsid w:val="50841890"/>
    <w:rsid w:val="508B1223"/>
    <w:rsid w:val="50C174A7"/>
    <w:rsid w:val="50C46E0E"/>
    <w:rsid w:val="51034DFE"/>
    <w:rsid w:val="51461658"/>
    <w:rsid w:val="51653EE0"/>
    <w:rsid w:val="51B8665F"/>
    <w:rsid w:val="51F04288"/>
    <w:rsid w:val="51F115BD"/>
    <w:rsid w:val="51F81C38"/>
    <w:rsid w:val="522747FF"/>
    <w:rsid w:val="52350D76"/>
    <w:rsid w:val="524D13AE"/>
    <w:rsid w:val="525D67B1"/>
    <w:rsid w:val="52E91C9B"/>
    <w:rsid w:val="53543B36"/>
    <w:rsid w:val="53571FE7"/>
    <w:rsid w:val="535F4ECC"/>
    <w:rsid w:val="5366282A"/>
    <w:rsid w:val="539B6246"/>
    <w:rsid w:val="5424025F"/>
    <w:rsid w:val="543B102E"/>
    <w:rsid w:val="5476762C"/>
    <w:rsid w:val="54870F23"/>
    <w:rsid w:val="54D52E2E"/>
    <w:rsid w:val="55115EF0"/>
    <w:rsid w:val="553231BA"/>
    <w:rsid w:val="555550AA"/>
    <w:rsid w:val="557149A4"/>
    <w:rsid w:val="55764AB0"/>
    <w:rsid w:val="558621A2"/>
    <w:rsid w:val="559A1F6D"/>
    <w:rsid w:val="55C40DA1"/>
    <w:rsid w:val="56217A8C"/>
    <w:rsid w:val="562B3530"/>
    <w:rsid w:val="566D4373"/>
    <w:rsid w:val="569A686C"/>
    <w:rsid w:val="56C81B8C"/>
    <w:rsid w:val="56E66192"/>
    <w:rsid w:val="56F77EDA"/>
    <w:rsid w:val="571D2863"/>
    <w:rsid w:val="572226D3"/>
    <w:rsid w:val="57380B54"/>
    <w:rsid w:val="575C7B33"/>
    <w:rsid w:val="577A502B"/>
    <w:rsid w:val="578D5422"/>
    <w:rsid w:val="57F76A39"/>
    <w:rsid w:val="58297857"/>
    <w:rsid w:val="586B5166"/>
    <w:rsid w:val="588365E0"/>
    <w:rsid w:val="58DF61BA"/>
    <w:rsid w:val="591034FF"/>
    <w:rsid w:val="59214FA3"/>
    <w:rsid w:val="59335EB4"/>
    <w:rsid w:val="59D51B51"/>
    <w:rsid w:val="59E843FC"/>
    <w:rsid w:val="5A1027A7"/>
    <w:rsid w:val="5A1530F9"/>
    <w:rsid w:val="5A323C8F"/>
    <w:rsid w:val="5A8838FD"/>
    <w:rsid w:val="5AEB044B"/>
    <w:rsid w:val="5AF759CC"/>
    <w:rsid w:val="5B05715F"/>
    <w:rsid w:val="5B2420C5"/>
    <w:rsid w:val="5B4F584D"/>
    <w:rsid w:val="5B645FAF"/>
    <w:rsid w:val="5B820399"/>
    <w:rsid w:val="5BEC5F82"/>
    <w:rsid w:val="5C781196"/>
    <w:rsid w:val="5C832063"/>
    <w:rsid w:val="5CBB2B03"/>
    <w:rsid w:val="5D0F4BA2"/>
    <w:rsid w:val="5D7662A0"/>
    <w:rsid w:val="5D995B67"/>
    <w:rsid w:val="5DCE63A1"/>
    <w:rsid w:val="5DDD6EE9"/>
    <w:rsid w:val="5E3B3315"/>
    <w:rsid w:val="5E4F2FB8"/>
    <w:rsid w:val="5E53552F"/>
    <w:rsid w:val="5E5B388D"/>
    <w:rsid w:val="5E606B86"/>
    <w:rsid w:val="5E6517EE"/>
    <w:rsid w:val="5E77137F"/>
    <w:rsid w:val="5E8E0F61"/>
    <w:rsid w:val="5EBD3CE8"/>
    <w:rsid w:val="5ED9087C"/>
    <w:rsid w:val="5F4D4A3E"/>
    <w:rsid w:val="5F6754F5"/>
    <w:rsid w:val="5F6F6A19"/>
    <w:rsid w:val="5F92307D"/>
    <w:rsid w:val="5FAB6F5D"/>
    <w:rsid w:val="60383B6C"/>
    <w:rsid w:val="60664A5D"/>
    <w:rsid w:val="606745F8"/>
    <w:rsid w:val="608948B9"/>
    <w:rsid w:val="608D150F"/>
    <w:rsid w:val="609738A6"/>
    <w:rsid w:val="60A46E44"/>
    <w:rsid w:val="612860FE"/>
    <w:rsid w:val="61503859"/>
    <w:rsid w:val="61777079"/>
    <w:rsid w:val="61D96E48"/>
    <w:rsid w:val="61EA3EE5"/>
    <w:rsid w:val="622A2075"/>
    <w:rsid w:val="62530491"/>
    <w:rsid w:val="62716A39"/>
    <w:rsid w:val="6294286F"/>
    <w:rsid w:val="62C42F92"/>
    <w:rsid w:val="62CD211A"/>
    <w:rsid w:val="62F5043D"/>
    <w:rsid w:val="62FF5690"/>
    <w:rsid w:val="630C0710"/>
    <w:rsid w:val="630E1C76"/>
    <w:rsid w:val="6325771D"/>
    <w:rsid w:val="63896A4E"/>
    <w:rsid w:val="63AF7354"/>
    <w:rsid w:val="63D258B1"/>
    <w:rsid w:val="642D6665"/>
    <w:rsid w:val="64522996"/>
    <w:rsid w:val="64645D98"/>
    <w:rsid w:val="64BD6867"/>
    <w:rsid w:val="65776718"/>
    <w:rsid w:val="65C33BE4"/>
    <w:rsid w:val="65C3635F"/>
    <w:rsid w:val="65F00B62"/>
    <w:rsid w:val="6623087F"/>
    <w:rsid w:val="66427896"/>
    <w:rsid w:val="665E7634"/>
    <w:rsid w:val="66C54402"/>
    <w:rsid w:val="67355CB3"/>
    <w:rsid w:val="67424962"/>
    <w:rsid w:val="674317B9"/>
    <w:rsid w:val="6758174D"/>
    <w:rsid w:val="675957E9"/>
    <w:rsid w:val="677901CF"/>
    <w:rsid w:val="67CC4993"/>
    <w:rsid w:val="67F51648"/>
    <w:rsid w:val="68464454"/>
    <w:rsid w:val="687C07E7"/>
    <w:rsid w:val="688775AE"/>
    <w:rsid w:val="68A062B0"/>
    <w:rsid w:val="68C41703"/>
    <w:rsid w:val="68E51738"/>
    <w:rsid w:val="68E5638C"/>
    <w:rsid w:val="68EC3B5A"/>
    <w:rsid w:val="69136A00"/>
    <w:rsid w:val="691D154A"/>
    <w:rsid w:val="691D2268"/>
    <w:rsid w:val="693064A3"/>
    <w:rsid w:val="694B0F7D"/>
    <w:rsid w:val="6985792C"/>
    <w:rsid w:val="69A322A7"/>
    <w:rsid w:val="6A3749C6"/>
    <w:rsid w:val="6A555CDF"/>
    <w:rsid w:val="6A672C8B"/>
    <w:rsid w:val="6ABC0D1E"/>
    <w:rsid w:val="6ACF2F23"/>
    <w:rsid w:val="6B003742"/>
    <w:rsid w:val="6B1736E2"/>
    <w:rsid w:val="6B313E1E"/>
    <w:rsid w:val="6B6C6D40"/>
    <w:rsid w:val="6B8F4457"/>
    <w:rsid w:val="6BE6220E"/>
    <w:rsid w:val="6BEA673A"/>
    <w:rsid w:val="6C074DA6"/>
    <w:rsid w:val="6CD875A0"/>
    <w:rsid w:val="6CFD5EF0"/>
    <w:rsid w:val="6D03257C"/>
    <w:rsid w:val="6D5C55BF"/>
    <w:rsid w:val="6D704A28"/>
    <w:rsid w:val="6DF02040"/>
    <w:rsid w:val="6E014538"/>
    <w:rsid w:val="6E18728E"/>
    <w:rsid w:val="6E3E2172"/>
    <w:rsid w:val="6E7D516A"/>
    <w:rsid w:val="6E8A4A8E"/>
    <w:rsid w:val="6EA40C55"/>
    <w:rsid w:val="6EBB011F"/>
    <w:rsid w:val="6F334E84"/>
    <w:rsid w:val="6F4D60ED"/>
    <w:rsid w:val="70396319"/>
    <w:rsid w:val="704B2EF4"/>
    <w:rsid w:val="70CC52F3"/>
    <w:rsid w:val="70DA1FF6"/>
    <w:rsid w:val="710D712B"/>
    <w:rsid w:val="711A0B9D"/>
    <w:rsid w:val="71274F65"/>
    <w:rsid w:val="717E4F12"/>
    <w:rsid w:val="71AF3687"/>
    <w:rsid w:val="71B12ABF"/>
    <w:rsid w:val="722877C7"/>
    <w:rsid w:val="725A041D"/>
    <w:rsid w:val="7265600B"/>
    <w:rsid w:val="72B63D18"/>
    <w:rsid w:val="72CB3A50"/>
    <w:rsid w:val="72CC236B"/>
    <w:rsid w:val="72D11B2B"/>
    <w:rsid w:val="72EC0A04"/>
    <w:rsid w:val="73152B01"/>
    <w:rsid w:val="7343527A"/>
    <w:rsid w:val="73446CB1"/>
    <w:rsid w:val="736357ED"/>
    <w:rsid w:val="73B74D8F"/>
    <w:rsid w:val="73BE5C7A"/>
    <w:rsid w:val="743E60E6"/>
    <w:rsid w:val="74483532"/>
    <w:rsid w:val="748A04D5"/>
    <w:rsid w:val="75634769"/>
    <w:rsid w:val="75705BEC"/>
    <w:rsid w:val="757F5473"/>
    <w:rsid w:val="75DE010F"/>
    <w:rsid w:val="760C527C"/>
    <w:rsid w:val="761E1EED"/>
    <w:rsid w:val="762A0D91"/>
    <w:rsid w:val="768F5967"/>
    <w:rsid w:val="769E265B"/>
    <w:rsid w:val="77005D5C"/>
    <w:rsid w:val="77774AB1"/>
    <w:rsid w:val="778B25A7"/>
    <w:rsid w:val="77B26F52"/>
    <w:rsid w:val="77BF4526"/>
    <w:rsid w:val="7826188E"/>
    <w:rsid w:val="7828580D"/>
    <w:rsid w:val="786316D2"/>
    <w:rsid w:val="78673E2C"/>
    <w:rsid w:val="78805D52"/>
    <w:rsid w:val="789E78DD"/>
    <w:rsid w:val="78BC0B4F"/>
    <w:rsid w:val="78BD2ADA"/>
    <w:rsid w:val="78E771CC"/>
    <w:rsid w:val="78FE327B"/>
    <w:rsid w:val="791345F3"/>
    <w:rsid w:val="792F0F95"/>
    <w:rsid w:val="796E1A86"/>
    <w:rsid w:val="798E76EC"/>
    <w:rsid w:val="79921F34"/>
    <w:rsid w:val="79F22BEA"/>
    <w:rsid w:val="7AE05D48"/>
    <w:rsid w:val="7AF53A0A"/>
    <w:rsid w:val="7AFB3A80"/>
    <w:rsid w:val="7AFC24C0"/>
    <w:rsid w:val="7B262D56"/>
    <w:rsid w:val="7B5B14B4"/>
    <w:rsid w:val="7B5C566A"/>
    <w:rsid w:val="7B7F3725"/>
    <w:rsid w:val="7BB0700B"/>
    <w:rsid w:val="7BE35039"/>
    <w:rsid w:val="7BE35BD4"/>
    <w:rsid w:val="7BE57560"/>
    <w:rsid w:val="7C1233E1"/>
    <w:rsid w:val="7C440367"/>
    <w:rsid w:val="7C8F1986"/>
    <w:rsid w:val="7CB542E6"/>
    <w:rsid w:val="7CCA2FB5"/>
    <w:rsid w:val="7CD03AC1"/>
    <w:rsid w:val="7D3A1A54"/>
    <w:rsid w:val="7D4E3344"/>
    <w:rsid w:val="7D510E31"/>
    <w:rsid w:val="7D5D01D8"/>
    <w:rsid w:val="7DE32D8B"/>
    <w:rsid w:val="7E1F4041"/>
    <w:rsid w:val="7E3C3380"/>
    <w:rsid w:val="7E455125"/>
    <w:rsid w:val="7E652799"/>
    <w:rsid w:val="7E674FFD"/>
    <w:rsid w:val="7EBE259E"/>
    <w:rsid w:val="7F01514B"/>
    <w:rsid w:val="7F4E6B32"/>
    <w:rsid w:val="7FB6714D"/>
    <w:rsid w:val="7FBA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5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rPr>
      <w:rFonts w:asciiTheme="minorHAnsi" w:hAnsiTheme="minorHAnsi" w:eastAsiaTheme="minorEastAsia" w:cstheme="minorBidi"/>
      <w:sz w:val="18"/>
      <w:szCs w:val="22"/>
    </w:rPr>
  </w:style>
  <w:style w:type="paragraph" w:styleId="9">
    <w:name w:val="Body Text"/>
    <w:basedOn w:val="1"/>
    <w:next w:val="1"/>
    <w:qFormat/>
    <w:uiPriority w:val="0"/>
    <w:pPr>
      <w:spacing w:after="120"/>
    </w:pPr>
  </w:style>
  <w:style w:type="paragraph" w:styleId="10">
    <w:name w:val="Body Text Indent"/>
    <w:basedOn w:val="1"/>
    <w:link w:val="40"/>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qFormat/>
    <w:uiPriority w:val="0"/>
    <w:pPr>
      <w:autoSpaceDE w:val="0"/>
      <w:autoSpaceDN w:val="0"/>
      <w:adjustRightInd w:val="0"/>
    </w:pPr>
    <w:rPr>
      <w:rFonts w:ascii="宋体" w:hAnsi="Tms Rmn" w:cstheme="minorBidi"/>
      <w:szCs w:val="22"/>
    </w:rPr>
  </w:style>
  <w:style w:type="paragraph" w:styleId="13">
    <w:name w:val="Date"/>
    <w:basedOn w:val="1"/>
    <w:next w:val="1"/>
    <w:link w:val="39"/>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6"/>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next w:val="9"/>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qFormat/>
    <w:uiPriority w:val="0"/>
    <w:rPr>
      <w:kern w:val="2"/>
      <w:sz w:val="28"/>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3">
    <w:name w:val="Body Text First Indent"/>
    <w:basedOn w:val="9"/>
    <w:qFormat/>
    <w:uiPriority w:val="0"/>
    <w:pPr>
      <w:spacing w:line="360" w:lineRule="auto"/>
      <w:ind w:firstLine="420"/>
    </w:pPr>
    <w:rPr>
      <w:rFonts w:ascii="宋体" w:hAnsi="宋体"/>
      <w:sz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customStyle="1" w:styleId="29">
    <w:name w:val="标题 1 字符"/>
    <w:basedOn w:val="26"/>
    <w:link w:val="3"/>
    <w:qFormat/>
    <w:uiPriority w:val="9"/>
    <w:rPr>
      <w:b/>
      <w:bCs/>
      <w:kern w:val="44"/>
      <w:sz w:val="44"/>
      <w:szCs w:val="44"/>
    </w:rPr>
  </w:style>
  <w:style w:type="paragraph" w:customStyle="1" w:styleId="30">
    <w:name w:val="标题 5（有编号）（绿盟科技）"/>
    <w:basedOn w:val="31"/>
    <w:next w:val="32"/>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3">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34">
    <w:name w:val="文档正文"/>
    <w:basedOn w:val="1"/>
    <w:qFormat/>
    <w:uiPriority w:val="0"/>
    <w:pPr>
      <w:adjustRightInd w:val="0"/>
      <w:spacing w:line="480" w:lineRule="atLeast"/>
      <w:textAlignment w:val="baseline"/>
    </w:pPr>
    <w:rPr>
      <w:rFonts w:ascii="Arial" w:hAnsi="Arial"/>
      <w:kern w:val="0"/>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6"/>
    <w:link w:val="15"/>
    <w:semiHidden/>
    <w:qFormat/>
    <w:uiPriority w:val="99"/>
    <w:rPr>
      <w:sz w:val="18"/>
      <w:szCs w:val="18"/>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日期 字符"/>
    <w:basedOn w:val="26"/>
    <w:link w:val="13"/>
    <w:semiHidden/>
    <w:qFormat/>
    <w:uiPriority w:val="99"/>
  </w:style>
  <w:style w:type="character" w:customStyle="1" w:styleId="40">
    <w:name w:val="正文文本缩进 字符"/>
    <w:basedOn w:val="26"/>
    <w:link w:val="10"/>
    <w:qFormat/>
    <w:uiPriority w:val="0"/>
    <w:rPr>
      <w:rFonts w:ascii="Times New Roman" w:hAnsi="Times New Roman" w:eastAsia="宋体" w:cs="Times New Roman"/>
      <w:sz w:val="32"/>
      <w:szCs w:val="20"/>
    </w:rPr>
  </w:style>
  <w:style w:type="paragraph" w:customStyle="1" w:styleId="4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42">
    <w:name w:val="List Paragraph"/>
    <w:basedOn w:val="1"/>
    <w:qFormat/>
    <w:uiPriority w:val="34"/>
    <w:pPr>
      <w:ind w:firstLine="420" w:firstLineChars="200"/>
    </w:pPr>
  </w:style>
  <w:style w:type="character" w:customStyle="1" w:styleId="43">
    <w:name w:val="标题 3 字符"/>
    <w:basedOn w:val="26"/>
    <w:link w:val="4"/>
    <w:qFormat/>
    <w:uiPriority w:val="0"/>
    <w:rPr>
      <w:rFonts w:ascii="Times New Roman" w:hAnsi="Times New Roman" w:eastAsia="宋体" w:cs="Times New Roman"/>
      <w:b/>
      <w:bCs/>
      <w:sz w:val="32"/>
      <w:szCs w:val="32"/>
    </w:rPr>
  </w:style>
  <w:style w:type="paragraph" w:customStyle="1" w:styleId="4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5">
    <w:name w:val="Unresolved Mention"/>
    <w:basedOn w:val="26"/>
    <w:semiHidden/>
    <w:unhideWhenUsed/>
    <w:qFormat/>
    <w:uiPriority w:val="99"/>
    <w:rPr>
      <w:color w:val="605E5C"/>
      <w:shd w:val="clear" w:color="auto" w:fill="E1DFDD"/>
    </w:rPr>
  </w:style>
  <w:style w:type="paragraph" w:customStyle="1" w:styleId="46">
    <w:name w:val="Default"/>
    <w:link w:val="47"/>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7">
    <w:name w:val="Default Char"/>
    <w:link w:val="46"/>
    <w:qFormat/>
    <w:uiPriority w:val="0"/>
    <w:rPr>
      <w:rFonts w:ascii="宋体" w:hAnsi="Times New Roman" w:eastAsia="宋体" w:cs="宋体"/>
      <w:color w:val="000000"/>
      <w:kern w:val="0"/>
      <w:sz w:val="24"/>
      <w:szCs w:val="24"/>
    </w:rPr>
  </w:style>
  <w:style w:type="paragraph" w:customStyle="1" w:styleId="48">
    <w:name w:val="Normal_0"/>
    <w:qFormat/>
    <w:uiPriority w:val="0"/>
    <w:rPr>
      <w:rFonts w:ascii="Times New Roman" w:hAnsi="Times New Roman" w:eastAsia="Times New Roman" w:cs="Times New Roman"/>
      <w:kern w:val="0"/>
      <w:sz w:val="24"/>
      <w:szCs w:val="24"/>
      <w:lang w:val="en-US" w:eastAsia="zh-CN" w:bidi="ar-SA"/>
    </w:rPr>
  </w:style>
  <w:style w:type="paragraph" w:customStyle="1" w:styleId="4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列出段落1"/>
    <w:basedOn w:val="1"/>
    <w:qFormat/>
    <w:uiPriority w:val="0"/>
    <w:pPr>
      <w:ind w:firstLine="420" w:firstLineChars="200"/>
    </w:pPr>
    <w:rPr>
      <w:szCs w:val="24"/>
    </w:rPr>
  </w:style>
  <w:style w:type="paragraph" w:customStyle="1" w:styleId="51">
    <w:name w:val="样式 首行缩进:  2 字符"/>
    <w:basedOn w:val="1"/>
    <w:qFormat/>
    <w:uiPriority w:val="0"/>
    <w:pPr>
      <w:spacing w:line="400" w:lineRule="exact"/>
      <w:ind w:firstLine="200" w:firstLineChars="200"/>
    </w:pPr>
    <w:rPr>
      <w:rFonts w:cs="宋体"/>
      <w:sz w:val="24"/>
    </w:rPr>
  </w:style>
  <w:style w:type="paragraph" w:customStyle="1" w:styleId="52">
    <w:name w:val="表格"/>
    <w:basedOn w:val="1"/>
    <w:qFormat/>
    <w:uiPriority w:val="0"/>
    <w:pPr>
      <w:spacing w:line="400" w:lineRule="exact"/>
    </w:pPr>
    <w:rPr>
      <w:sz w:val="24"/>
      <w:szCs w:val="24"/>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55">
    <w:name w:val="段落正文"/>
    <w:basedOn w:val="1"/>
    <w:qFormat/>
    <w:uiPriority w:val="0"/>
    <w:pPr>
      <w:spacing w:beforeLines="50" w:line="360" w:lineRule="auto"/>
      <w:ind w:firstLine="200" w:firstLineChars="200"/>
    </w:pPr>
    <w:rPr>
      <w:spacing w:val="2"/>
      <w:sz w:val="24"/>
      <w:szCs w:val="20"/>
    </w:rPr>
  </w:style>
  <w:style w:type="paragraph" w:customStyle="1" w:styleId="56">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57">
    <w:name w:val="标题 2 Char1"/>
    <w:link w:val="2"/>
    <w:qFormat/>
    <w:uiPriority w:val="0"/>
    <w:rPr>
      <w:rFonts w:ascii="Arial" w:hAnsi="Arial" w:eastAsia="黑体"/>
      <w:b/>
      <w:bCs/>
      <w:sz w:val="32"/>
      <w:szCs w:val="32"/>
    </w:rPr>
  </w:style>
  <w:style w:type="table" w:customStyle="1" w:styleId="58">
    <w:name w:val="Table Normal"/>
    <w:semiHidden/>
    <w:unhideWhenUsed/>
    <w:qFormat/>
    <w:uiPriority w:val="0"/>
    <w:tblPr>
      <w:tblCellMar>
        <w:top w:w="0" w:type="dxa"/>
        <w:left w:w="0" w:type="dxa"/>
        <w:bottom w:w="0" w:type="dxa"/>
        <w:right w:w="0" w:type="dxa"/>
      </w:tblCellMar>
    </w:tblPr>
  </w:style>
  <w:style w:type="character" w:customStyle="1" w:styleId="59">
    <w:name w:val="font01"/>
    <w:basedOn w:val="26"/>
    <w:qFormat/>
    <w:uiPriority w:val="0"/>
    <w:rPr>
      <w:rFonts w:hint="eastAsia" w:ascii="宋体" w:hAnsi="宋体" w:eastAsia="宋体" w:cs="宋体"/>
      <w:color w:val="000000"/>
      <w:sz w:val="24"/>
      <w:szCs w:val="24"/>
      <w:u w:val="none"/>
    </w:rPr>
  </w:style>
  <w:style w:type="paragraph" w:customStyle="1" w:styleId="60">
    <w:name w:val="null3"/>
    <w:hidden/>
    <w:qFormat/>
    <w:uiPriority w:val="0"/>
    <w:rPr>
      <w:rFonts w:hint="eastAsia" w:asciiTheme="minorHAnsi" w:hAnsiTheme="minorHAnsi" w:eastAsiaTheme="minorEastAsia" w:cstheme="minorBidi"/>
      <w:lang w:val="en-US" w:eastAsia="zh-Hans"/>
    </w:rPr>
  </w:style>
  <w:style w:type="paragraph" w:customStyle="1" w:styleId="61">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CEB55-F1C8-46AF-B997-3F6499B707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66</Pages>
  <Words>1407</Words>
  <Characters>1650</Characters>
  <Lines>262</Lines>
  <Paragraphs>73</Paragraphs>
  <TotalTime>30</TotalTime>
  <ScaleCrop>false</ScaleCrop>
  <LinksUpToDate>false</LinksUpToDate>
  <CharactersWithSpaces>1673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禾月</cp:lastModifiedBy>
  <cp:lastPrinted>2022-03-23T09:18:00Z</cp:lastPrinted>
  <dcterms:modified xsi:type="dcterms:W3CDTF">2024-11-11T03:03:25Z</dcterms:modified>
  <cp:revision>1565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E045A6A9488C417093F4618D9610065D_13</vt:lpwstr>
  </property>
</Properties>
</file>